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b/>
          <w:bCs/>
          <w:szCs w:val="32"/>
        </w:rPr>
      </w:pPr>
      <w:r>
        <w:rPr>
          <w:rFonts w:ascii="仿宋" w:hAnsi="仿宋" w:eastAsia="仿宋"/>
          <w:b/>
          <w:bCs/>
          <w:sz w:val="32"/>
          <w:szCs w:val="32"/>
        </w:rPr>
        <w:t>附件</w:t>
      </w:r>
      <w:r>
        <w:rPr>
          <w:rFonts w:hint="eastAsia" w:ascii="仿宋" w:hAnsi="仿宋" w:eastAsia="仿宋"/>
          <w:b/>
          <w:bCs/>
          <w:sz w:val="32"/>
          <w:szCs w:val="32"/>
        </w:rPr>
        <w:t>2</w:t>
      </w:r>
      <w:r>
        <w:rPr>
          <w:rFonts w:ascii="仿宋" w:hAnsi="仿宋" w:eastAsia="仿宋"/>
          <w:b/>
          <w:bCs/>
          <w:sz w:val="32"/>
          <w:szCs w:val="32"/>
        </w:rPr>
        <w:t>：</w:t>
      </w:r>
      <w:bookmarkStart w:id="0" w:name="_GoBack"/>
      <w:r>
        <w:rPr>
          <w:rFonts w:hint="eastAsia" w:ascii="仿宋" w:hAnsi="仿宋" w:eastAsia="仿宋"/>
          <w:b/>
          <w:bCs/>
          <w:sz w:val="32"/>
          <w:szCs w:val="32"/>
        </w:rPr>
        <w:t>201</w:t>
      </w:r>
      <w:r>
        <w:rPr>
          <w:rFonts w:hint="eastAsia" w:ascii="仿宋" w:hAnsi="仿宋" w:eastAsia="仿宋"/>
          <w:b/>
          <w:bCs/>
          <w:sz w:val="32"/>
          <w:szCs w:val="32"/>
          <w:lang w:val="en-US" w:eastAsia="zh-CN"/>
        </w:rPr>
        <w:t>9</w:t>
      </w:r>
      <w:r>
        <w:rPr>
          <w:rFonts w:hint="eastAsia" w:ascii="仿宋" w:hAnsi="仿宋" w:eastAsia="仿宋"/>
          <w:b/>
          <w:bCs/>
          <w:sz w:val="32"/>
          <w:szCs w:val="32"/>
        </w:rPr>
        <w:t>年佛坪县政务公开工作绩效评估指标一览表</w:t>
      </w:r>
      <w:bookmarkEnd w:id="0"/>
    </w:p>
    <w:tbl>
      <w:tblPr>
        <w:tblStyle w:val="3"/>
        <w:tblpPr w:leftFromText="180" w:rightFromText="180" w:vertAnchor="text" w:horzAnchor="page" w:tblpX="703" w:tblpY="281"/>
        <w:tblOverlap w:val="never"/>
        <w:tblW w:w="15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49"/>
        <w:gridCol w:w="973"/>
        <w:gridCol w:w="1153"/>
        <w:gridCol w:w="689"/>
        <w:gridCol w:w="1103"/>
        <w:gridCol w:w="696"/>
        <w:gridCol w:w="1320"/>
        <w:gridCol w:w="709"/>
        <w:gridCol w:w="4555"/>
        <w:gridCol w:w="771"/>
        <w:gridCol w:w="1097"/>
        <w:gridCol w:w="15"/>
        <w:gridCol w:w="15"/>
        <w:gridCol w:w="12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67" w:hRule="atLeast"/>
          <w:tblHeader/>
        </w:trPr>
        <w:tc>
          <w:tcPr>
            <w:tcW w:w="1149"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一级指标</w:t>
            </w:r>
          </w:p>
        </w:tc>
        <w:tc>
          <w:tcPr>
            <w:tcW w:w="973"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权重</w:t>
            </w:r>
          </w:p>
        </w:tc>
        <w:tc>
          <w:tcPr>
            <w:tcW w:w="1153"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二级指标</w:t>
            </w:r>
          </w:p>
        </w:tc>
        <w:tc>
          <w:tcPr>
            <w:tcW w:w="689"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权重</w:t>
            </w:r>
          </w:p>
        </w:tc>
        <w:tc>
          <w:tcPr>
            <w:tcW w:w="1103"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三级指标</w:t>
            </w:r>
          </w:p>
        </w:tc>
        <w:tc>
          <w:tcPr>
            <w:tcW w:w="696"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权重</w:t>
            </w:r>
          </w:p>
        </w:tc>
        <w:tc>
          <w:tcPr>
            <w:tcW w:w="1320"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四级指标</w:t>
            </w:r>
          </w:p>
        </w:tc>
        <w:tc>
          <w:tcPr>
            <w:tcW w:w="709"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权重</w:t>
            </w:r>
          </w:p>
        </w:tc>
        <w:tc>
          <w:tcPr>
            <w:tcW w:w="4555"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评估点</w:t>
            </w:r>
          </w:p>
        </w:tc>
        <w:tc>
          <w:tcPr>
            <w:tcW w:w="771" w:type="dxa"/>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rPr>
              <w:t>权重</w:t>
            </w:r>
          </w:p>
        </w:tc>
        <w:tc>
          <w:tcPr>
            <w:tcW w:w="1112" w:type="dxa"/>
            <w:gridSpan w:val="2"/>
            <w:shd w:val="clear" w:color="auto" w:fill="FFFFFF"/>
            <w:noWrap w:val="0"/>
            <w:vAlign w:val="center"/>
          </w:tcPr>
          <w:p>
            <w:pPr>
              <w:widowControl/>
              <w:jc w:val="center"/>
              <w:rPr>
                <w:rFonts w:ascii="宋体" w:hAnsi="宋体" w:cs="宋体"/>
                <w:b/>
                <w:kern w:val="0"/>
                <w:szCs w:val="21"/>
              </w:rPr>
            </w:pPr>
            <w:r>
              <w:rPr>
                <w:rFonts w:hint="eastAsia" w:ascii="宋体" w:hAnsi="宋体" w:cs="宋体"/>
                <w:b/>
                <w:kern w:val="0"/>
                <w:szCs w:val="21"/>
                <w:lang w:eastAsia="zh-CN"/>
              </w:rPr>
              <w:t>公开</w:t>
            </w:r>
            <w:r>
              <w:rPr>
                <w:rFonts w:hint="eastAsia" w:ascii="宋体" w:hAnsi="宋体" w:cs="宋体"/>
                <w:b/>
                <w:kern w:val="0"/>
                <w:szCs w:val="21"/>
              </w:rPr>
              <w:t>方式</w:t>
            </w:r>
          </w:p>
        </w:tc>
        <w:tc>
          <w:tcPr>
            <w:tcW w:w="1565" w:type="dxa"/>
            <w:gridSpan w:val="3"/>
            <w:shd w:val="clear" w:color="auto" w:fill="FFFFFF"/>
            <w:noWrap w:val="0"/>
            <w:vAlign w:val="center"/>
          </w:tcPr>
          <w:p>
            <w:pPr>
              <w:widowControl/>
              <w:jc w:val="both"/>
              <w:rPr>
                <w:rFonts w:hint="eastAsia" w:ascii="宋体" w:hAnsi="宋体" w:cs="宋体"/>
                <w:b/>
                <w:kern w:val="0"/>
                <w:szCs w:val="21"/>
                <w:lang w:eastAsia="zh-CN"/>
              </w:rPr>
            </w:pPr>
            <w:r>
              <w:rPr>
                <w:rFonts w:hint="eastAsia" w:ascii="宋体" w:hAnsi="宋体" w:cs="宋体"/>
                <w:b/>
                <w:kern w:val="0"/>
                <w:szCs w:val="21"/>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一、政府信息公开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（一）主动公开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会议公开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公众参与</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是否建立健全利益相关方、公众代表、专家、媒体等列席政府有关会议的制度以及制度的落实情况。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政府办</w:t>
            </w:r>
          </w:p>
          <w:p>
            <w:pPr>
              <w:widowControl/>
              <w:rPr>
                <w:rFonts w:hint="eastAsia" w:ascii="宋体" w:hAnsi="宋体" w:cs="宋体"/>
                <w:kern w:val="0"/>
                <w:szCs w:val="21"/>
                <w:lang w:eastAsia="zh-CN"/>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会议结果</w:t>
            </w:r>
          </w:p>
          <w:p>
            <w:pPr>
              <w:widowControl/>
              <w:jc w:val="left"/>
              <w:rPr>
                <w:rFonts w:ascii="宋体" w:hAnsi="宋体" w:cs="宋体"/>
                <w:kern w:val="0"/>
                <w:szCs w:val="21"/>
              </w:rPr>
            </w:pPr>
            <w:r>
              <w:rPr>
                <w:rFonts w:hint="eastAsia" w:ascii="宋体" w:hAnsi="宋体" w:cs="宋体"/>
                <w:kern w:val="0"/>
                <w:szCs w:val="21"/>
              </w:rPr>
              <w:t>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政府全体会议、常务会议讨论决定的事项、政府及其部门制定的政策是否及时公开（依法需要保密的除外）。</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决策预</w:t>
            </w:r>
          </w:p>
          <w:p>
            <w:pPr>
              <w:widowControl/>
              <w:jc w:val="center"/>
              <w:rPr>
                <w:rFonts w:ascii="宋体" w:hAnsi="宋体" w:cs="宋体"/>
                <w:kern w:val="0"/>
                <w:szCs w:val="21"/>
              </w:rPr>
            </w:pPr>
            <w:r>
              <w:rPr>
                <w:rFonts w:hint="eastAsia" w:ascii="宋体" w:hAnsi="宋体" w:cs="宋体"/>
                <w:kern w:val="0"/>
                <w:szCs w:val="21"/>
              </w:rPr>
              <w:t>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15%</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政策制定</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制定涉企政策是否征求企业家意见</w:t>
            </w:r>
            <w:r>
              <w:rPr>
                <w:rFonts w:ascii="宋体" w:hAnsi="宋体" w:cs="宋体"/>
                <w:kern w:val="0"/>
                <w:szCs w:val="21"/>
              </w:rPr>
              <w:t>,</w:t>
            </w:r>
            <w:r>
              <w:rPr>
                <w:rFonts w:hint="eastAsia" w:ascii="宋体" w:hAnsi="宋体" w:cs="宋体"/>
                <w:kern w:val="0"/>
                <w:szCs w:val="21"/>
              </w:rPr>
              <w:t>出台和调整相关宏观政策是否向有代表性的企业和行业协会商会以及律师协会问计求策。</w:t>
            </w:r>
          </w:p>
        </w:tc>
        <w:tc>
          <w:tcPr>
            <w:tcW w:w="771" w:type="dxa"/>
            <w:shd w:val="clear" w:color="auto" w:fill="FFFFFF"/>
            <w:noWrap w:val="0"/>
            <w:vAlign w:val="center"/>
          </w:tcPr>
          <w:p>
            <w:pPr>
              <w:widowControl/>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center"/>
              <w:rPr>
                <w:rFonts w:ascii="宋体" w:hAnsi="宋体" w:cs="宋体"/>
                <w:kern w:val="0"/>
                <w:szCs w:val="21"/>
              </w:rPr>
            </w:pPr>
          </w:p>
        </w:tc>
        <w:tc>
          <w:tcPr>
            <w:tcW w:w="696" w:type="dxa"/>
            <w:vMerge w:val="continue"/>
            <w:shd w:val="clear" w:color="auto" w:fill="FFFFFF"/>
            <w:noWrap w:val="0"/>
            <w:vAlign w:val="center"/>
          </w:tcPr>
          <w:p>
            <w:pPr>
              <w:jc w:val="center"/>
              <w:rPr>
                <w:rFonts w:ascii="宋体" w:hAnsi="宋体" w:cs="宋体"/>
                <w:kern w:val="0"/>
                <w:szCs w:val="21"/>
              </w:rPr>
            </w:pP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意见征集</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是否通过听证座谈、网络征集、咨询协商、媒体沟通等多种形式广泛听取意见；涉及公共利益和公众权益的重大事项，除依法应当保密的外，是否主动向社会公布决策草案、决策依据等。</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60%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lang w:eastAsia="zh-CN"/>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是否公开征求意见的电子邮箱、联系电话、邮寄地址等。</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lang w:eastAsia="zh-CN"/>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意见反馈</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对所收集的意见是否进行了整理汇总并公开；意见的采纳情况是否公开，未采纳的是否说明理由。</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lang w:eastAsia="zh-CN"/>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一、政府信息公开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（一）主动公开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执行公开</w:t>
            </w:r>
          </w:p>
        </w:tc>
        <w:tc>
          <w:tcPr>
            <w:tcW w:w="696" w:type="dxa"/>
            <w:vMerge w:val="restart"/>
            <w:shd w:val="clear" w:color="auto" w:fill="FFFFFF"/>
            <w:noWrap w:val="0"/>
            <w:vAlign w:val="center"/>
          </w:tcPr>
          <w:p>
            <w:pPr>
              <w:widowControl/>
              <w:jc w:val="right"/>
              <w:rPr>
                <w:rFonts w:ascii="宋体" w:hAnsi="宋体" w:cs="宋体"/>
                <w:kern w:val="0"/>
                <w:szCs w:val="21"/>
              </w:rPr>
            </w:pPr>
            <w:r>
              <w:rPr>
                <w:rFonts w:ascii="宋体" w:hAnsi="宋体" w:cs="宋体"/>
                <w:kern w:val="0"/>
                <w:szCs w:val="21"/>
              </w:rPr>
              <w:t>20%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重要政策措施执行和落实公开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是否围绕稳增长、促改革、调结构、惠民生、防风险、保稳定系列政策措施的执行和落实情况及时公开相关信息。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149" w:type="dxa"/>
            <w:vMerge w:val="continue"/>
            <w:shd w:val="clear" w:color="auto" w:fill="FFFFFF"/>
            <w:noWrap w:val="0"/>
            <w:vAlign w:val="center"/>
          </w:tcPr>
          <w:p>
            <w:pPr>
              <w:jc w:val="center"/>
              <w:rPr>
                <w:rFonts w:ascii="宋体" w:hAnsi="宋体" w:cs="宋体"/>
                <w:kern w:val="0"/>
                <w:szCs w:val="21"/>
              </w:rPr>
            </w:pPr>
          </w:p>
        </w:tc>
        <w:tc>
          <w:tcPr>
            <w:tcW w:w="973" w:type="dxa"/>
            <w:vMerge w:val="continue"/>
            <w:shd w:val="clear" w:color="auto" w:fill="FFFFFF"/>
            <w:noWrap w:val="0"/>
            <w:vAlign w:val="center"/>
          </w:tcPr>
          <w:p>
            <w:pPr>
              <w:jc w:val="center"/>
              <w:rPr>
                <w:rFonts w:ascii="宋体" w:hAnsi="宋体" w:cs="宋体"/>
                <w:kern w:val="0"/>
                <w:szCs w:val="21"/>
              </w:rPr>
            </w:pPr>
          </w:p>
        </w:tc>
        <w:tc>
          <w:tcPr>
            <w:tcW w:w="1153" w:type="dxa"/>
            <w:vMerge w:val="continue"/>
            <w:shd w:val="clear" w:color="auto" w:fill="FFFFFF"/>
            <w:noWrap w:val="0"/>
            <w:vAlign w:val="center"/>
          </w:tcPr>
          <w:p>
            <w:pPr>
              <w:jc w:val="center"/>
              <w:rPr>
                <w:rFonts w:ascii="宋体" w:hAnsi="宋体" w:cs="宋体"/>
                <w:kern w:val="0"/>
                <w:szCs w:val="21"/>
              </w:rPr>
            </w:pPr>
          </w:p>
        </w:tc>
        <w:tc>
          <w:tcPr>
            <w:tcW w:w="689" w:type="dxa"/>
            <w:vMerge w:val="continue"/>
            <w:shd w:val="clear" w:color="auto" w:fill="FFFFFF"/>
            <w:noWrap w:val="0"/>
            <w:vAlign w:val="center"/>
          </w:tcPr>
          <w:p>
            <w:pPr>
              <w:jc w:val="center"/>
              <w:rPr>
                <w:rFonts w:ascii="宋体" w:hAnsi="宋体" w:cs="宋体"/>
                <w:kern w:val="0"/>
                <w:szCs w:val="21"/>
              </w:rPr>
            </w:pPr>
          </w:p>
        </w:tc>
        <w:tc>
          <w:tcPr>
            <w:tcW w:w="1103" w:type="dxa"/>
            <w:vMerge w:val="continue"/>
            <w:shd w:val="clear" w:color="auto" w:fill="FFFFFF"/>
            <w:noWrap w:val="0"/>
            <w:vAlign w:val="center"/>
          </w:tcPr>
          <w:p>
            <w:pPr>
              <w:widowControl/>
              <w:jc w:val="center"/>
              <w:rPr>
                <w:rFonts w:ascii="宋体" w:hAnsi="宋体" w:cs="宋体"/>
                <w:kern w:val="0"/>
                <w:szCs w:val="21"/>
              </w:rPr>
            </w:pPr>
          </w:p>
        </w:tc>
        <w:tc>
          <w:tcPr>
            <w:tcW w:w="696" w:type="dxa"/>
            <w:vMerge w:val="continue"/>
            <w:shd w:val="clear" w:color="auto" w:fill="FFFFFF"/>
            <w:noWrap w:val="0"/>
            <w:vAlign w:val="center"/>
          </w:tcPr>
          <w:p>
            <w:pPr>
              <w:widowControl/>
              <w:jc w:val="center"/>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督查、审计公开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是否对督查和审计发现问题、整改落实及问责情况进行公开。</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政府办</w:t>
            </w:r>
          </w:p>
          <w:p>
            <w:pPr>
              <w:widowControl/>
              <w:rPr>
                <w:rFonts w:hint="eastAsia" w:ascii="宋体" w:hAnsi="宋体" w:cs="宋体"/>
                <w:kern w:val="0"/>
                <w:szCs w:val="21"/>
              </w:rPr>
            </w:pPr>
            <w:r>
              <w:rPr>
                <w:rFonts w:hint="eastAsia" w:ascii="宋体" w:hAnsi="宋体" w:cs="宋体"/>
                <w:kern w:val="0"/>
                <w:szCs w:val="21"/>
                <w:lang w:eastAsia="zh-CN"/>
              </w:rPr>
              <w:t>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重大行政决策执行过程公开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在重大行政决策执行过程中，是否及时跟踪决策的实施情况，了解利益相关方和公众对决策实施的意见和建议，是否积极开展决策执行效果评估，及时调整完善，并将相关情况向社会公开。</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基本信息、结果信息的公开与更新</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是否及时通过政府网站及政务新媒体、办事大厅公示栏、服务窗口等平台向社会公开行政执法基本信息、结果信息。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80%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ascii="宋体" w:hAnsi="宋体" w:cs="宋体"/>
                <w:kern w:val="0"/>
                <w:szCs w:val="21"/>
              </w:rPr>
              <w:t>政务新媒体等</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是否建立健全执法决定信息公开发布、撤销和更新机制；已公开的行政执法决定被依法撤销、确认违法或者要求重新作出的，是否及时从信息公示平台撤下原行政执法决定信息。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规范性文件公开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公开时效性</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是否及时公开规范性文件。</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有效性标注</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是否及时公开规范性文件的废止、失效等情况，并在政府网站已发布的原文件上作出明确标注。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一、政府信息公开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（一）主动公开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人大代表建议、政协委员提案办理公开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栏目设置</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是否设置建议、提案公开栏目。</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149" w:type="dxa"/>
            <w:vMerge w:val="continue"/>
            <w:shd w:val="clear" w:color="auto" w:fill="FFFFFF"/>
            <w:noWrap w:val="0"/>
            <w:vAlign w:val="center"/>
          </w:tcPr>
          <w:p>
            <w:pPr>
              <w:jc w:val="center"/>
              <w:rPr>
                <w:rFonts w:ascii="宋体" w:hAnsi="宋体" w:cs="宋体"/>
                <w:kern w:val="0"/>
                <w:szCs w:val="21"/>
              </w:rPr>
            </w:pPr>
          </w:p>
        </w:tc>
        <w:tc>
          <w:tcPr>
            <w:tcW w:w="973" w:type="dxa"/>
            <w:vMerge w:val="continue"/>
            <w:shd w:val="clear" w:color="auto" w:fill="FFFFFF"/>
            <w:noWrap w:val="0"/>
            <w:vAlign w:val="center"/>
          </w:tcPr>
          <w:p>
            <w:pPr>
              <w:jc w:val="center"/>
              <w:rPr>
                <w:rFonts w:ascii="宋体" w:hAnsi="宋体" w:cs="宋体"/>
                <w:kern w:val="0"/>
                <w:szCs w:val="21"/>
              </w:rPr>
            </w:pPr>
          </w:p>
        </w:tc>
        <w:tc>
          <w:tcPr>
            <w:tcW w:w="1153" w:type="dxa"/>
            <w:vMerge w:val="continue"/>
            <w:shd w:val="clear" w:color="auto" w:fill="FFFFFF"/>
            <w:noWrap w:val="0"/>
            <w:vAlign w:val="center"/>
          </w:tcPr>
          <w:p>
            <w:pPr>
              <w:jc w:val="center"/>
              <w:rPr>
                <w:rFonts w:ascii="宋体" w:hAnsi="宋体" w:cs="宋体"/>
                <w:kern w:val="0"/>
                <w:szCs w:val="21"/>
              </w:rPr>
            </w:pPr>
          </w:p>
        </w:tc>
        <w:tc>
          <w:tcPr>
            <w:tcW w:w="689" w:type="dxa"/>
            <w:vMerge w:val="continue"/>
            <w:shd w:val="clear" w:color="auto" w:fill="FFFFFF"/>
            <w:noWrap w:val="0"/>
            <w:vAlign w:val="center"/>
          </w:tcPr>
          <w:p>
            <w:pPr>
              <w:jc w:val="center"/>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办理情况公开</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80%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应当公开的复函是否自签发之日起</w:t>
            </w:r>
            <w:r>
              <w:rPr>
                <w:rFonts w:ascii="宋体" w:hAnsi="宋体" w:cs="宋体"/>
                <w:kern w:val="0"/>
                <w:szCs w:val="21"/>
              </w:rPr>
              <w:t>10个工作日内在</w:t>
            </w:r>
            <w:r>
              <w:rPr>
                <w:rFonts w:hint="eastAsia" w:ascii="宋体" w:hAnsi="宋体" w:cs="宋体"/>
                <w:kern w:val="0"/>
                <w:szCs w:val="21"/>
                <w:lang w:eastAsia="zh-CN"/>
              </w:rPr>
              <w:t>县</w:t>
            </w:r>
            <w:r>
              <w:rPr>
                <w:rFonts w:hint="eastAsia" w:ascii="宋体" w:hAnsi="宋体" w:cs="宋体"/>
                <w:kern w:val="0"/>
                <w:szCs w:val="21"/>
              </w:rPr>
              <w:t>政府门户网站“建议提案”专栏公开。</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复函是否由承办单位主要负责同志签发；是否在右上角注明答复类别。</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重点领域信息公开</w:t>
            </w:r>
          </w:p>
        </w:tc>
        <w:tc>
          <w:tcPr>
            <w:tcW w:w="696" w:type="dxa"/>
            <w:vMerge w:val="restart"/>
            <w:shd w:val="clear" w:color="auto" w:fill="FFFFFF"/>
            <w:noWrap w:val="0"/>
            <w:vAlign w:val="center"/>
          </w:tcPr>
          <w:p>
            <w:pPr>
              <w:widowControl/>
              <w:rPr>
                <w:rFonts w:ascii="宋体" w:hAnsi="宋体" w:cs="宋体"/>
                <w:kern w:val="0"/>
                <w:szCs w:val="21"/>
              </w:rPr>
            </w:pPr>
            <w:r>
              <w:rPr>
                <w:rFonts w:ascii="宋体" w:hAnsi="宋体" w:cs="宋体"/>
                <w:kern w:val="0"/>
                <w:szCs w:val="21"/>
              </w:rPr>
              <w:t>35%</w:t>
            </w: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财政信息公开</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是否集中公开政府预决算、部门预决算及“三公”经费预决算等内容。</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097"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80" w:type="dxa"/>
            <w:gridSpan w:val="4"/>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财政局及各部门、各镇办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是否定期公开债务限额、余额、债务率、偿债率以及经济财政状况、债券发行、存续期管理等信息。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重大建设项目批准和实施领域信息公开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批准服务信息、批准结果信息、招标投标信息、重大设计变更信息、施工有关信息、质量安全监督信息、资金管理信息、竣工等有关信息的公开情况。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发改局、住建局及各部门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公共资源配置领域信息公开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住房保障领域、国有土地使用权出让领域、矿业权出让领域、政府采购领域、国有产权交易领域、</w:t>
            </w:r>
            <w:r>
              <w:rPr>
                <w:rFonts w:ascii="宋体" w:hAnsi="宋体" w:cs="宋体"/>
                <w:kern w:val="0"/>
                <w:szCs w:val="21"/>
              </w:rPr>
              <w:t>PPP项目领域、医疗卫生、药品及医用耗材采购等领域相关信息的公开情况。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住建局</w:t>
            </w:r>
          </w:p>
          <w:p>
            <w:pPr>
              <w:widowControl/>
              <w:rPr>
                <w:rFonts w:hint="eastAsia" w:ascii="宋体" w:hAnsi="宋体" w:cs="宋体"/>
                <w:kern w:val="0"/>
                <w:szCs w:val="21"/>
                <w:lang w:eastAsia="zh-CN"/>
              </w:rPr>
            </w:pPr>
            <w:r>
              <w:rPr>
                <w:rFonts w:hint="eastAsia" w:ascii="宋体" w:hAnsi="宋体" w:cs="宋体"/>
                <w:kern w:val="0"/>
                <w:szCs w:val="21"/>
                <w:lang w:eastAsia="zh-CN"/>
              </w:rPr>
              <w:t>自然资源局</w:t>
            </w:r>
          </w:p>
          <w:p>
            <w:pPr>
              <w:widowControl/>
              <w:rPr>
                <w:rFonts w:hint="eastAsia" w:ascii="宋体" w:hAnsi="宋体" w:cs="宋体"/>
                <w:kern w:val="0"/>
                <w:szCs w:val="21"/>
                <w:lang w:eastAsia="zh-CN"/>
              </w:rPr>
            </w:pPr>
            <w:r>
              <w:rPr>
                <w:rFonts w:hint="eastAsia" w:ascii="宋体" w:hAnsi="宋体" w:cs="宋体"/>
                <w:kern w:val="0"/>
                <w:szCs w:val="21"/>
                <w:lang w:eastAsia="zh-CN"/>
              </w:rPr>
              <w:t>财政局</w:t>
            </w:r>
          </w:p>
          <w:p>
            <w:pPr>
              <w:widowControl/>
              <w:rPr>
                <w:rFonts w:hint="eastAsia" w:ascii="宋体" w:hAnsi="宋体" w:cs="宋体"/>
                <w:kern w:val="0"/>
                <w:szCs w:val="21"/>
                <w:lang w:eastAsia="zh-CN"/>
              </w:rPr>
            </w:pPr>
            <w:r>
              <w:rPr>
                <w:rFonts w:hint="eastAsia" w:ascii="宋体" w:hAnsi="宋体" w:cs="宋体"/>
                <w:kern w:val="0"/>
                <w:szCs w:val="21"/>
                <w:lang w:eastAsia="zh-CN"/>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一、政府信息公开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（一）主动公开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重点领域信息公开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35%</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社会公益事业建设领域信息公开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社会救助和社会福利领域、灾害事故救援等领域相关信息的公开情况。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民政局</w:t>
            </w:r>
          </w:p>
          <w:p>
            <w:pPr>
              <w:widowControl/>
              <w:rPr>
                <w:rFonts w:hint="eastAsia" w:ascii="宋体" w:hAnsi="宋体" w:cs="宋体"/>
                <w:kern w:val="0"/>
                <w:szCs w:val="21"/>
                <w:lang w:eastAsia="zh-CN"/>
              </w:rPr>
            </w:pPr>
            <w:r>
              <w:rPr>
                <w:rFonts w:hint="eastAsia" w:ascii="宋体" w:hAnsi="宋体" w:cs="宋体"/>
                <w:kern w:val="0"/>
                <w:szCs w:val="21"/>
                <w:lang w:eastAsia="zh-CN"/>
              </w:rPr>
              <w:t>应急管理局</w:t>
            </w:r>
          </w:p>
          <w:p>
            <w:pPr>
              <w:widowControl/>
              <w:rPr>
                <w:rFonts w:hint="eastAsia" w:ascii="宋体" w:hAnsi="宋体" w:cs="宋体"/>
                <w:kern w:val="0"/>
                <w:szCs w:val="21"/>
                <w:lang w:eastAsia="zh-CN"/>
              </w:rPr>
            </w:pPr>
            <w:r>
              <w:rPr>
                <w:rFonts w:hint="eastAsia" w:ascii="宋体" w:hAnsi="宋体" w:cs="宋体"/>
                <w:kern w:val="0"/>
                <w:szCs w:val="21"/>
                <w:lang w:eastAsia="zh-CN"/>
              </w:rPr>
              <w:t>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三大攻坚战信息公开</w:t>
            </w:r>
          </w:p>
        </w:tc>
        <w:tc>
          <w:tcPr>
            <w:tcW w:w="709" w:type="dxa"/>
            <w:vMerge w:val="restart"/>
            <w:shd w:val="clear" w:color="auto" w:fill="FFFFFF"/>
            <w:noWrap w:val="0"/>
            <w:vAlign w:val="center"/>
          </w:tcPr>
          <w:p>
            <w:pPr>
              <w:widowControl/>
              <w:jc w:val="right"/>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是否围绕继续创新和完善宏观调控、着力缓解企业融资难融资贵问题、加快推进金融改革开放、稳妥处理地方政府债务风险等方面依法及时公开相关信息。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35%</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发改局牵头负责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jc w:val="left"/>
              <w:rPr>
                <w:rFonts w:ascii="宋体" w:hAnsi="宋体" w:cs="宋体"/>
                <w:kern w:val="0"/>
                <w:szCs w:val="21"/>
              </w:rPr>
            </w:pPr>
          </w:p>
        </w:tc>
        <w:tc>
          <w:tcPr>
            <w:tcW w:w="709" w:type="dxa"/>
            <w:vMerge w:val="continue"/>
            <w:shd w:val="clear" w:color="auto" w:fill="FFFFFF"/>
            <w:noWrap w:val="0"/>
            <w:vAlign w:val="center"/>
          </w:tcPr>
          <w:p>
            <w:pPr>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围绕解决“两不愁三保障”面临的突出问题、深度贫困地区和特殊贫困群体脱贫攻坚、易地扶贫搬迁后续扶持措施等方面，重点做好相关政策举措、扶贫项目、财政专项扶贫资金、精准扶贫贷款、行业扶贫相关财政资金、东西部扶贫协作财政援助资金等方面依法及时公开相关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35%</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扶贫办牵头负责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是否围绕持续开展大气污染治理攻坚、加快治理黑臭水体、防治农业面源污染、推进重点流域综合整治、加强固体废弃物和城市垃圾分类处置等方面依法及时公开相关信息。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市生态环境局佛坪分局牵头负责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4"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一、政府信息公开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53"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（一）主动公开</w:t>
            </w:r>
          </w:p>
        </w:tc>
        <w:tc>
          <w:tcPr>
            <w:tcW w:w="68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重点领域信息公开</w:t>
            </w:r>
          </w:p>
        </w:tc>
        <w:tc>
          <w:tcPr>
            <w:tcW w:w="696" w:type="dxa"/>
            <w:shd w:val="clear" w:color="auto" w:fill="FFFFFF"/>
            <w:noWrap w:val="0"/>
            <w:vAlign w:val="center"/>
          </w:tcPr>
          <w:p>
            <w:pPr>
              <w:widowControl/>
              <w:rPr>
                <w:rFonts w:ascii="宋体" w:hAnsi="宋体" w:cs="宋体"/>
                <w:kern w:val="0"/>
                <w:szCs w:val="21"/>
              </w:rPr>
            </w:pPr>
            <w:r>
              <w:rPr>
                <w:rFonts w:ascii="宋体" w:hAnsi="宋体" w:cs="宋体"/>
                <w:kern w:val="0"/>
                <w:szCs w:val="21"/>
              </w:rPr>
              <w:t>35%</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重点民生领域信息公开</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围绕就业、教育、医疗、养老、征地、公共文化等领域及时依法公开相关信息。是否及时公开促进就业创业的政策措施、就业供求信息，是否做好面向高校毕业生、退役军人、下岗职工、农民工等重点群体的就业专项活动和高职院校考试招生信息、奖助学金政策的公开工作；是否通过多种形式及时公开义务教育招生方案、招生范围、招生程序、报名条件、学校情况、录取结果、咨询方式等信息，以及多渠道扩大学前教育供给的相关信息；是否做好医疗服务、药品安全、医保监管、疫苗监管、公立医疗卫生机构绩效考核结果等方面信息的公开；是否进一步推进征地信息主动公开，将历史征地信息补录到</w:t>
            </w:r>
            <w:r>
              <w:rPr>
                <w:rFonts w:ascii="宋体" w:hAnsi="宋体" w:cs="宋体"/>
                <w:kern w:val="0"/>
                <w:szCs w:val="21"/>
              </w:rPr>
              <w:t>2015年前。</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27" w:type="dxa"/>
            <w:gridSpan w:val="3"/>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50" w:type="dxa"/>
            <w:gridSpan w:val="2"/>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人社局</w:t>
            </w:r>
          </w:p>
          <w:p>
            <w:pPr>
              <w:widowControl/>
              <w:rPr>
                <w:rFonts w:hint="eastAsia" w:ascii="宋体" w:hAnsi="宋体" w:cs="宋体"/>
                <w:kern w:val="0"/>
                <w:szCs w:val="21"/>
                <w:lang w:eastAsia="zh-CN"/>
              </w:rPr>
            </w:pPr>
            <w:r>
              <w:rPr>
                <w:rFonts w:hint="eastAsia" w:ascii="宋体" w:hAnsi="宋体" w:cs="宋体"/>
                <w:kern w:val="0"/>
                <w:szCs w:val="21"/>
                <w:lang w:eastAsia="zh-CN"/>
              </w:rPr>
              <w:t>教体局</w:t>
            </w:r>
          </w:p>
          <w:p>
            <w:pPr>
              <w:widowControl/>
              <w:rPr>
                <w:rFonts w:hint="eastAsia" w:ascii="宋体" w:hAnsi="宋体" w:cs="宋体"/>
                <w:kern w:val="0"/>
                <w:szCs w:val="21"/>
                <w:lang w:eastAsia="zh-CN"/>
              </w:rPr>
            </w:pPr>
            <w:r>
              <w:rPr>
                <w:rFonts w:hint="eastAsia" w:ascii="宋体" w:hAnsi="宋体" w:cs="宋体"/>
                <w:kern w:val="0"/>
                <w:szCs w:val="21"/>
                <w:lang w:eastAsia="zh-CN"/>
              </w:rPr>
              <w:t>自然资源局</w:t>
            </w:r>
          </w:p>
          <w:p>
            <w:pPr>
              <w:widowControl/>
              <w:rPr>
                <w:rFonts w:hint="eastAsia" w:ascii="宋体" w:hAnsi="宋体" w:cs="宋体"/>
                <w:kern w:val="0"/>
                <w:szCs w:val="21"/>
                <w:lang w:eastAsia="zh-CN"/>
              </w:rPr>
            </w:pPr>
            <w:r>
              <w:rPr>
                <w:rFonts w:hint="eastAsia" w:ascii="宋体" w:hAnsi="宋体" w:cs="宋体"/>
                <w:kern w:val="0"/>
                <w:szCs w:val="21"/>
                <w:lang w:eastAsia="zh-CN"/>
              </w:rPr>
              <w:t>文旅局</w:t>
            </w:r>
          </w:p>
          <w:p>
            <w:pPr>
              <w:widowControl/>
              <w:rPr>
                <w:rFonts w:hint="eastAsia" w:ascii="宋体" w:hAnsi="宋体" w:cs="宋体"/>
                <w:kern w:val="0"/>
                <w:szCs w:val="21"/>
                <w:lang w:eastAsia="zh-CN"/>
              </w:rPr>
            </w:pPr>
            <w:r>
              <w:rPr>
                <w:rFonts w:hint="eastAsia" w:ascii="宋体" w:hAnsi="宋体" w:cs="宋体"/>
                <w:kern w:val="0"/>
                <w:szCs w:val="21"/>
                <w:lang w:eastAsia="zh-CN"/>
              </w:rPr>
              <w:t>市场监管局</w:t>
            </w:r>
          </w:p>
          <w:p>
            <w:pPr>
              <w:widowControl/>
              <w:rPr>
                <w:rFonts w:hint="eastAsia" w:ascii="宋体" w:hAnsi="宋体" w:cs="宋体"/>
                <w:kern w:val="0"/>
                <w:szCs w:val="21"/>
                <w:lang w:eastAsia="zh-CN"/>
              </w:rPr>
            </w:pPr>
            <w:r>
              <w:rPr>
                <w:rFonts w:hint="eastAsia" w:ascii="宋体" w:hAnsi="宋体" w:cs="宋体"/>
                <w:kern w:val="0"/>
                <w:szCs w:val="21"/>
                <w:lang w:eastAsia="zh-CN"/>
              </w:rPr>
              <w:t>卫健局</w:t>
            </w:r>
          </w:p>
          <w:p>
            <w:pPr>
              <w:widowControl/>
              <w:rPr>
                <w:rFonts w:hint="eastAsia" w:ascii="宋体" w:hAnsi="宋体" w:cs="宋体"/>
                <w:kern w:val="0"/>
                <w:szCs w:val="21"/>
              </w:rPr>
            </w:pPr>
            <w:r>
              <w:rPr>
                <w:rFonts w:hint="eastAsia" w:ascii="宋体" w:hAnsi="宋体" w:cs="宋体"/>
                <w:kern w:val="0"/>
                <w:szCs w:val="21"/>
                <w:lang w:eastAsia="zh-CN"/>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（二）依申请公开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03"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流程规范</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制度建立</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是否建立健全登记、审核、办理、答复、归档的工作制度。</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27" w:type="dxa"/>
            <w:gridSpan w:val="3"/>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50" w:type="dxa"/>
            <w:gridSpan w:val="2"/>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申请渠道</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栏目设置</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是否设置依申请公开栏目。</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27" w:type="dxa"/>
            <w:gridSpan w:val="3"/>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50"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渠道多样</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是否开设网络、信函、现场及传真申请渠道；申请渠道是否畅通。</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27"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50"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答复情况</w:t>
            </w:r>
            <w:r>
              <w:rPr>
                <w:rFonts w:ascii="宋体" w:hAnsi="宋体" w:cs="宋体"/>
                <w:kern w:val="0"/>
                <w:szCs w:val="21"/>
              </w:rPr>
              <w:t xml:space="preserve"> </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答复时限</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是否在法定期限内答复。</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信息化办及涉关部门、镇办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一、政府信息公开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（二）依申请公开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答复情况</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答复形式</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是否有规范的答复模式；答复书是否加盖公章。</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信息化办及涉关部门、镇办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答复内容</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是否依据新修订的《政府信息公开条例》答复，答复内容是否合法。</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信息化办及涉关部门、镇办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行政复议、行政诉讼</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w:t>
            </w:r>
          </w:p>
        </w:tc>
        <w:tc>
          <w:tcPr>
            <w:tcW w:w="709"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信息公开类行政复议中是否发生行政行为被撤销或确认违法情形；信息公开类行政诉讼是否发生败诉情形。</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审核</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信息化办及涉关部门、镇办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二、解读回应参与</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（三）政策解读</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解读形式</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多样化解读</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60%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是否运用政策简明问答、网络问政、政策进社区等方式，采用图片图表、音频视频、卡通动漫等形式，运用数据、案例进行立体式、多方位解读；专业性较强的政策，是否邀请专家学者进行准确、权威解读。</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政府办及各部门、各镇办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主要负责人解读</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主要负责同志是否切实履行好“第一解读人”职责。在重要政策出台、重点工作推进、重大事件发生时，主要负责同志是否履行好信息发布、权威定调、自觉把关等职责，带头解读政策，主动引导预期。</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政府办及各部门、各镇办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解读内容</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网址链接</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是否提供原文网址链接。</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政府办及各部门、各镇办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内容完整</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解读内容是否完整（包括解读政策的背景依据、目标任务、主要内容、涉及范围、执行标准、注意事项、关键词诠释、惠民利民举措或新旧政策差异等）。</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政府办及各部门、各镇办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1"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二、解读回应参与</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（三）政策解读</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解读内容</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重点解读</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以创新和完善宏观调控、激发市场主体活力、优化营商环境、培育壮大新动能、扎实推进脱贫攻坚和乡村振兴、促进区域协调发展（陕南绿色循环发展）、加强污染防治和生态建设、深化重点领域改革、推动全方位对外开放、更好保障和改善民生等政策为重点，全面公开、精准解读相关政策措施。</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各涉关部门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解读时效</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w:t>
            </w:r>
          </w:p>
        </w:tc>
        <w:tc>
          <w:tcPr>
            <w:tcW w:w="709"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解读材料是否与政策文件同步在政府网站发布。</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各涉关部门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restart"/>
            <w:shd w:val="clear" w:color="auto" w:fill="FFFFFF"/>
            <w:noWrap w:val="0"/>
            <w:vAlign w:val="center"/>
          </w:tcPr>
          <w:p>
            <w:pPr>
              <w:jc w:val="center"/>
              <w:rPr>
                <w:rFonts w:ascii="宋体" w:hAnsi="宋体" w:cs="宋体"/>
                <w:kern w:val="0"/>
                <w:szCs w:val="21"/>
              </w:rPr>
            </w:pPr>
            <w:r>
              <w:rPr>
                <w:rFonts w:hint="eastAsia" w:ascii="宋体" w:hAnsi="宋体" w:cs="宋体"/>
                <w:kern w:val="0"/>
                <w:szCs w:val="21"/>
              </w:rPr>
              <w:t>（四）舆情回应</w:t>
            </w:r>
          </w:p>
        </w:tc>
        <w:tc>
          <w:tcPr>
            <w:tcW w:w="689" w:type="dxa"/>
            <w:vMerge w:val="restart"/>
            <w:shd w:val="clear" w:color="auto" w:fill="FFFFFF"/>
            <w:noWrap w:val="0"/>
            <w:vAlign w:val="center"/>
          </w:tcPr>
          <w:p>
            <w:pPr>
              <w:jc w:val="center"/>
              <w:rPr>
                <w:rFonts w:ascii="宋体" w:hAnsi="宋体" w:cs="宋体"/>
                <w:kern w:val="0"/>
                <w:szCs w:val="21"/>
              </w:rPr>
            </w:pPr>
            <w:r>
              <w:rPr>
                <w:rFonts w:ascii="宋体" w:hAnsi="宋体" w:cs="宋体"/>
                <w:kern w:val="0"/>
                <w:szCs w:val="21"/>
              </w:rPr>
              <w:t>30%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回应的主动性、针对性、有效性</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80%</w:t>
            </w: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机制建立</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是否建立政务舆情回应责任制并落实政务舆情回应主体责任。</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是否与宣传、网信等相关部门联系沟通，完善重大政务舆情信息共享、协同联动、快速反应机制。</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center"/>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重点舆情</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出台重要改革措施和涉及群众切身利益、容易引起社会关注的政策文件，是否认真做好舆情风险评估研判，制定应对处置预案；是否对重大突发事件舆情风险源头进行研判。</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二、解读回应参与</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（四）舆情回应</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回应的主动性、针对性、有效性</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80%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重点舆情</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重点做好减税降费、金融安全、生态环境、脱贫攻坚、教育改革、食品药品、卫生健康、养老服务、公正监管、社会保障、社会治安、房地产市场等经济社会热点，以及市场主体和人民群众办事创业的堵点痛点等方面的舆情监测、研判、回应。</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回应时效</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特别重大、重大突发事件的政务舆情，是否在</w:t>
            </w:r>
            <w:r>
              <w:rPr>
                <w:rFonts w:ascii="宋体" w:hAnsi="宋体" w:cs="宋体"/>
                <w:kern w:val="0"/>
                <w:szCs w:val="21"/>
              </w:rPr>
              <w:t>5小时内发布权威信息、24小时内举行新闻发布会；其他政务舆情是否在48小时内予以回应。</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回应渠道</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回应渠道多样</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是否在网站、微博、微信、纸质媒体等平台全面回应。</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（五）公众参与</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政务咨询类</w:t>
            </w:r>
          </w:p>
        </w:tc>
        <w:tc>
          <w:tcPr>
            <w:tcW w:w="696"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0%</w:t>
            </w: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栏目开设</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是否开设咨询类栏目。</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功能是否可用。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回复情况</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是否做到咨询类留言一般</w:t>
            </w:r>
            <w:r>
              <w:rPr>
                <w:rFonts w:ascii="宋体" w:hAnsi="宋体" w:cs="宋体"/>
                <w:kern w:val="0"/>
                <w:szCs w:val="21"/>
              </w:rPr>
              <w:t>5个工作日内回复。</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留言回复是否具体、详细、有针对性。</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widowControl/>
              <w:jc w:val="left"/>
              <w:rPr>
                <w:rFonts w:ascii="宋体" w:hAnsi="宋体" w:cs="宋体"/>
                <w:kern w:val="0"/>
                <w:szCs w:val="21"/>
              </w:rPr>
            </w:pPr>
          </w:p>
        </w:tc>
        <w:tc>
          <w:tcPr>
            <w:tcW w:w="973" w:type="dxa"/>
            <w:vMerge w:val="continue"/>
            <w:shd w:val="clear" w:color="auto" w:fill="FFFFFF"/>
            <w:noWrap w:val="0"/>
            <w:vAlign w:val="top"/>
          </w:tcPr>
          <w:p>
            <w:pPr>
              <w:widowControl/>
              <w:jc w:val="left"/>
              <w:rPr>
                <w:rFonts w:ascii="宋体" w:hAnsi="宋体" w:cs="宋体"/>
                <w:kern w:val="0"/>
                <w:szCs w:val="21"/>
              </w:rPr>
            </w:pPr>
          </w:p>
        </w:tc>
        <w:tc>
          <w:tcPr>
            <w:tcW w:w="1153" w:type="dxa"/>
            <w:vMerge w:val="continue"/>
            <w:shd w:val="clear" w:color="auto" w:fill="FFFFFF"/>
            <w:noWrap w:val="0"/>
            <w:vAlign w:val="top"/>
          </w:tcPr>
          <w:p>
            <w:pPr>
              <w:widowControl/>
              <w:jc w:val="left"/>
              <w:rPr>
                <w:rFonts w:ascii="宋体" w:hAnsi="宋体" w:cs="宋体"/>
                <w:kern w:val="0"/>
                <w:szCs w:val="21"/>
              </w:rPr>
            </w:pPr>
          </w:p>
        </w:tc>
        <w:tc>
          <w:tcPr>
            <w:tcW w:w="689" w:type="dxa"/>
            <w:vMerge w:val="continue"/>
            <w:shd w:val="clear" w:color="auto" w:fill="FFFFFF"/>
            <w:noWrap w:val="0"/>
            <w:vAlign w:val="top"/>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满意度评价</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是否设立留言满意度评价功能，功能是否可用。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二、解读回应参与</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（五）公众参与</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调查征集类</w:t>
            </w:r>
          </w:p>
        </w:tc>
        <w:tc>
          <w:tcPr>
            <w:tcW w:w="696"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0%</w:t>
            </w: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栏目开设</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是否开设调查征集类栏目。</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功能是否可用。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政府网站</w:t>
            </w:r>
          </w:p>
          <w:p>
            <w:pPr>
              <w:widowControl/>
              <w:rPr>
                <w:rFonts w:ascii="宋体" w:hAnsi="宋体" w:cs="宋体"/>
                <w:kern w:val="0"/>
                <w:szCs w:val="21"/>
              </w:rPr>
            </w:pPr>
            <w:r>
              <w:rPr>
                <w:rFonts w:hint="eastAsia" w:ascii="宋体" w:hAnsi="宋体" w:cs="宋体"/>
                <w:kern w:val="0"/>
                <w:szCs w:val="21"/>
              </w:rPr>
              <w:t>日常采样</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调查统计</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是否围绕重大事件、业务工作开展调查活动。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是否提供调查统计分析结果。</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政务公开实践活动</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政务公开具体实践活动</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是否举办政务公开具体实践活动。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1149" w:type="dxa"/>
            <w:vMerge w:val="continue"/>
            <w:shd w:val="clear" w:color="auto" w:fill="FFFFFF"/>
            <w:noWrap w:val="0"/>
            <w:vAlign w:val="top"/>
          </w:tcPr>
          <w:p>
            <w:pPr>
              <w:jc w:val="left"/>
              <w:rPr>
                <w:rFonts w:ascii="宋体" w:hAnsi="宋体" w:cs="宋体"/>
                <w:kern w:val="0"/>
                <w:szCs w:val="21"/>
              </w:rPr>
            </w:pPr>
          </w:p>
        </w:tc>
        <w:tc>
          <w:tcPr>
            <w:tcW w:w="973" w:type="dxa"/>
            <w:vMerge w:val="continue"/>
            <w:shd w:val="clear" w:color="auto" w:fill="FFFFFF"/>
            <w:noWrap w:val="0"/>
            <w:vAlign w:val="top"/>
          </w:tcPr>
          <w:p>
            <w:pPr>
              <w:jc w:val="left"/>
              <w:rPr>
                <w:rFonts w:ascii="宋体" w:hAnsi="宋体" w:cs="宋体"/>
                <w:kern w:val="0"/>
                <w:szCs w:val="21"/>
              </w:rPr>
            </w:pPr>
          </w:p>
        </w:tc>
        <w:tc>
          <w:tcPr>
            <w:tcW w:w="1153" w:type="dxa"/>
            <w:vMerge w:val="continue"/>
            <w:shd w:val="clear" w:color="auto" w:fill="FFFFFF"/>
            <w:noWrap w:val="0"/>
            <w:vAlign w:val="top"/>
          </w:tcPr>
          <w:p>
            <w:pPr>
              <w:jc w:val="left"/>
              <w:rPr>
                <w:rFonts w:ascii="宋体" w:hAnsi="宋体" w:cs="宋体"/>
                <w:kern w:val="0"/>
                <w:szCs w:val="21"/>
              </w:rPr>
            </w:pPr>
          </w:p>
        </w:tc>
        <w:tc>
          <w:tcPr>
            <w:tcW w:w="689" w:type="dxa"/>
            <w:vMerge w:val="continue"/>
            <w:shd w:val="clear" w:color="auto" w:fill="FFFFFF"/>
            <w:noWrap w:val="0"/>
            <w:vAlign w:val="top"/>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“大学生到政府机关见习”活动</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是否举办“大学生到政府机关见习”活动（举办次数、参加人数、承办区县比例等）。</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三、服务公开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5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（六）“放管服”改革信息公开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03"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“放管服”改革新任务新举措</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“放管服”改革新任务新举措</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围绕“放管服”改革新任务新举措，集中公开减税降费、“证照分离”改革、工程建设项目审批制度改革、压缩企业开办时间、优化企业注销办理流程、压减行政许可、市场准入负面清单动态调整、清理规范基层各类涉企乱收费项目、深入推进大众创业万众创新等方面工作的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“双随机</w:t>
            </w:r>
            <w:r>
              <w:rPr>
                <w:rFonts w:ascii="宋体" w:hAnsi="宋体" w:cs="宋体"/>
                <w:kern w:val="0"/>
                <w:szCs w:val="21"/>
              </w:rPr>
              <w:t>,一公开”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25%</w:t>
            </w:r>
          </w:p>
        </w:tc>
        <w:tc>
          <w:tcPr>
            <w:tcW w:w="1320"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“双随机</w:t>
            </w:r>
            <w:r>
              <w:rPr>
                <w:rFonts w:ascii="宋体" w:hAnsi="宋体" w:cs="宋体"/>
                <w:kern w:val="0"/>
                <w:szCs w:val="21"/>
              </w:rPr>
              <w:t>,一公开”</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是否依法公开随机抽查事项清单。</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是否明确抽查依据、主体、内容、方式等。</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是否及时通过国家企业信用信息公示系统（陕西）、信用中国（陕西汉中）“双随机检查结果公开专栏”及其他平台公开抽查结果和查处情况。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信用信息公示系统专栏</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“双公示”</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320"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“双公示”</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top"/>
          </w:tcPr>
          <w:p>
            <w:pPr>
              <w:widowControl/>
              <w:jc w:val="left"/>
              <w:rPr>
                <w:rFonts w:ascii="宋体" w:hAnsi="宋体" w:cs="宋体"/>
                <w:kern w:val="0"/>
                <w:szCs w:val="21"/>
              </w:rPr>
            </w:pPr>
            <w:r>
              <w:rPr>
                <w:rFonts w:hint="eastAsia" w:ascii="宋体" w:hAnsi="宋体" w:cs="宋体"/>
                <w:kern w:val="0"/>
                <w:szCs w:val="21"/>
              </w:rPr>
              <w:t>是否在行政决定作出之日起</w:t>
            </w:r>
            <w:r>
              <w:rPr>
                <w:rFonts w:ascii="宋体" w:hAnsi="宋体" w:cs="宋体"/>
                <w:kern w:val="0"/>
                <w:szCs w:val="21"/>
              </w:rPr>
              <w:t>7个工作日内通过信用中国（陕西</w:t>
            </w:r>
            <w:r>
              <w:rPr>
                <w:rFonts w:hint="eastAsia" w:ascii="宋体" w:hAnsi="宋体" w:cs="宋体"/>
                <w:kern w:val="0"/>
                <w:szCs w:val="21"/>
              </w:rPr>
              <w:t>汉中</w:t>
            </w:r>
            <w:r>
              <w:rPr>
                <w:rFonts w:ascii="宋体" w:hAnsi="宋体" w:cs="宋体"/>
                <w:kern w:val="0"/>
                <w:szCs w:val="21"/>
              </w:rPr>
              <w:t>）“行政许可、行政处罚信息公示专栏”公示行政许可、行政处罚信息。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信用信息公示系统专栏</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证明事项清理减并</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25%</w:t>
            </w:r>
          </w:p>
        </w:tc>
        <w:tc>
          <w:tcPr>
            <w:tcW w:w="1320" w:type="dxa"/>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证明事项清理减并</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是否公开保留的证明事项清单，逐项列明设定依据、索要单位、开具单位等办理指南要素；是否公布承诺证明事项清单。</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三、服务公开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5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（七）政务服务公开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80%</w:t>
            </w: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事项公开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60%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事项公开情况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是否对本级政府办事服务事项集中分类展示。</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vMerge w:val="restart"/>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办事指南发布情况</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发布的服务事项是否提供办事指南。</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办事指南重点要素类别（包括事项名称、设定依据、申请条件、办理材料、办理地点、办理机构、收费标准、办理时间、联系电话、办理流程）是否齐全。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办理材料格式要求是否明确（如未说明原件</w:t>
            </w:r>
            <w:r>
              <w:rPr>
                <w:rFonts w:ascii="宋体" w:hAnsi="宋体" w:cs="宋体"/>
                <w:kern w:val="0"/>
                <w:szCs w:val="21"/>
              </w:rPr>
              <w:t>/复印件、纸质版/电子版、份数等）。</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是否存在表述含糊不清的情形（如“根据有关法律法规规定应提交的其他材料”等表述）。</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是否存在办事指南中提到的政策文件仅有名称、未说明具体内容的情形。</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12" w:type="dxa"/>
            <w:gridSpan w:val="2"/>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vMerge w:val="restart"/>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办事指南内容准确度</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服务事项办事指南信息（如咨询电话、投诉电话等）是否存在错误，或与实际办事要求是否未保持一致。</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结合机构改革后的职责调整变化情况，是否及时梳理编制并公开进驻办事大厅的审批服务事项、办事指南、办事流程等。</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三、服务公开</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5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（七）政务服务公开</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80%</w:t>
            </w: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事项公开</w:t>
            </w:r>
          </w:p>
        </w:tc>
        <w:tc>
          <w:tcPr>
            <w:tcW w:w="696" w:type="dxa"/>
            <w:shd w:val="clear" w:color="auto" w:fill="FFFFFF"/>
            <w:noWrap w:val="0"/>
            <w:vAlign w:val="center"/>
          </w:tcPr>
          <w:p>
            <w:pPr>
              <w:widowControl/>
              <w:jc w:val="right"/>
              <w:rPr>
                <w:rFonts w:ascii="宋体" w:hAnsi="宋体" w:cs="宋体"/>
                <w:kern w:val="0"/>
                <w:szCs w:val="21"/>
              </w:rPr>
            </w:pPr>
            <w:r>
              <w:rPr>
                <w:rFonts w:ascii="宋体" w:hAnsi="宋体" w:cs="宋体"/>
                <w:kern w:val="0"/>
                <w:szCs w:val="21"/>
              </w:rPr>
              <w:t>60%</w:t>
            </w:r>
          </w:p>
        </w:tc>
        <w:tc>
          <w:tcPr>
            <w:tcW w:w="1320"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表格样表提供情况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服务事项办事指南要求办事人提供申请表、申请书等表单的，是否提供规范表格获取渠道。</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办理公开</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一窗服务</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是否向社会公众告知“综合窗口”服务和办理事项信息，且进驻本级实体大厅的政务服务事项实现“一窗”分类受理是否达到</w:t>
            </w:r>
            <w:r>
              <w:rPr>
                <w:rFonts w:ascii="宋体" w:hAnsi="宋体" w:cs="宋体"/>
                <w:kern w:val="0"/>
                <w:szCs w:val="21"/>
              </w:rPr>
              <w:t>70%以上。</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一网通办</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是否发布“网上办”清单，且政务服务事项网上可申请率不低于</w:t>
            </w:r>
            <w:r>
              <w:rPr>
                <w:rFonts w:ascii="宋体" w:hAnsi="宋体" w:cs="宋体"/>
                <w:kern w:val="0"/>
                <w:szCs w:val="21"/>
              </w:rPr>
              <w:t>70%。</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陕西政务服务网-佛坪县</w:t>
            </w:r>
          </w:p>
        </w:tc>
        <w:tc>
          <w:tcPr>
            <w:tcW w:w="1565" w:type="dxa"/>
            <w:gridSpan w:val="3"/>
            <w:vMerge w:val="restart"/>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最多跑一次</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是否发布“一次办”或“最多跑一次”清单，且包含的高频事项不少于</w:t>
            </w:r>
            <w:r>
              <w:rPr>
                <w:rFonts w:ascii="宋体" w:hAnsi="宋体" w:cs="宋体"/>
                <w:kern w:val="0"/>
                <w:szCs w:val="21"/>
              </w:rPr>
              <w:t>100个。</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在线申请情况</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是否提供可用的在线注册功能。</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注册用户是否能够在全省政务服务网通行、办事。</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办事统计信息公开情况</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是否公开办事统计数据。</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jc w:val="left"/>
              <w:rPr>
                <w:rFonts w:ascii="宋体" w:hAnsi="宋体" w:cs="宋体"/>
                <w:kern w:val="0"/>
                <w:szCs w:val="21"/>
              </w:rPr>
            </w:pPr>
          </w:p>
        </w:tc>
        <w:tc>
          <w:tcPr>
            <w:tcW w:w="696" w:type="dxa"/>
            <w:vMerge w:val="continue"/>
            <w:shd w:val="clear" w:color="auto" w:fill="FFFFFF"/>
            <w:noWrap w:val="0"/>
            <w:vAlign w:val="center"/>
          </w:tcPr>
          <w:p>
            <w:pPr>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监测时间点前</w:t>
            </w:r>
            <w:r>
              <w:rPr>
                <w:rFonts w:ascii="宋体" w:hAnsi="宋体" w:cs="宋体"/>
                <w:kern w:val="0"/>
                <w:szCs w:val="21"/>
              </w:rPr>
              <w:t>1个月内，办事统计数据是否更新。</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112" w:type="dxa"/>
            <w:gridSpan w:val="2"/>
            <w:vMerge w:val="continue"/>
            <w:shd w:val="clear" w:color="auto" w:fill="FFFFFF"/>
            <w:noWrap w:val="0"/>
            <w:vAlign w:val="center"/>
          </w:tcPr>
          <w:p>
            <w:pPr>
              <w:widowControl/>
              <w:rPr>
                <w:rFonts w:ascii="宋体" w:hAnsi="宋体" w:cs="宋体"/>
                <w:kern w:val="0"/>
                <w:szCs w:val="21"/>
              </w:rPr>
            </w:pPr>
          </w:p>
        </w:tc>
        <w:tc>
          <w:tcPr>
            <w:tcW w:w="1565" w:type="dxa"/>
            <w:gridSpan w:val="3"/>
            <w:vMerge w:val="continue"/>
            <w:shd w:val="clear" w:color="auto" w:fill="FFFFFF"/>
            <w:noWrap w:val="0"/>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righ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政务热线电话建设运行情况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是否清理整合政务热线，向社会公布统一热线号码，实现“一号对外”；服务热线是否畅通可用。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电话测试</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四、平台建设</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（八）政府网站</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内容保障机制建设</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内容保障机制建设情况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建立健全政府网站内容更新、信息发布、协调联动、信息内容建设管理等保障机制；是否建立专人负责制，明确专职人员负责网站内容的及时发布更新、数据资源的统一管理、信息服务的整合加工、互动诉求的响应处理、搜索功能的优化创新等情况；是否加强审核制度，及时发现和纠正错漏信息，确保网站内容准确、服务实用好用。</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政府网站功能建设</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功能提供情况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本级政府门户网站是否提供信息发布、解读回应、互动交流及办事服务功能。</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信息发布</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发布的政府信息公开目录是否与网站文件资料库、有关栏目内容关联融合，是否通过目录检索到具体信息，方便公众查找。</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站内搜索</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网站头部标识区是否醒目提供实时可用的全网站搜索功能入口；随机选取</w:t>
            </w:r>
            <w:r>
              <w:rPr>
                <w:rFonts w:ascii="宋体" w:hAnsi="宋体" w:cs="宋体"/>
                <w:kern w:val="0"/>
                <w:szCs w:val="21"/>
              </w:rPr>
              <w:t>4条网站已发布的信息或服务的标题进行测试，在搜索结果第一页是否成功找到该内容；搜索结果是否实现分类展现（如按照政策文件、办事指南等进行分类）。</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四、平台建设</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（八）政府网站</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集约整合</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开办整合</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政府网站需要新建、整合、改版、迁移备案的，是否严格履行《政府网站发展指引》中明确的报批程序。</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域名清理</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按要求完成所辖政府网站域名集中清理工作情况。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247" w:type="dxa"/>
            <w:gridSpan w:val="4"/>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430" w:type="dxa"/>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集约化工作</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配合市级政府网站集约化平台建设情况。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247" w:type="dxa"/>
            <w:gridSpan w:val="4"/>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430" w:type="dxa"/>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安全防护管理</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320"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安全防护管理要求</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是否制定完善政府网站安全保障机制，做好防攻击、防篡改、防病毒等工作；是否建立政府网站信息数据安全保护制度，收集、使用用户信息数据是否遵循合法、正当、必要的原则。</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247" w:type="dxa"/>
            <w:gridSpan w:val="4"/>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430" w:type="dxa"/>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网站是否存在高危漏洞（如</w:t>
            </w:r>
            <w:r>
              <w:rPr>
                <w:rFonts w:ascii="宋体" w:hAnsi="宋体" w:cs="宋体"/>
                <w:kern w:val="0"/>
                <w:szCs w:val="21"/>
              </w:rPr>
              <w:t>SQL注入漏洞、XSS漏洞、网站组件漏洞、安全配置漏洞等）且造成重大影响的情况。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247" w:type="dxa"/>
            <w:gridSpan w:val="4"/>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材料报送、政府网站</w:t>
            </w:r>
          </w:p>
        </w:tc>
        <w:tc>
          <w:tcPr>
            <w:tcW w:w="1430" w:type="dxa"/>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网页展现</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浏览器兼容性</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采用多种浏览器，网站是否能够正常访问、显示，页面、功能是否实时可用；页面是否保持整齐不变形</w:t>
            </w:r>
            <w:r>
              <w:rPr>
                <w:rFonts w:ascii="宋体" w:hAnsi="宋体" w:cs="宋体"/>
                <w:kern w:val="0"/>
                <w:szCs w:val="21"/>
              </w:rPr>
              <w:t>,不出现文字错行、表格错位、功能和控件不可用等情况。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247" w:type="dxa"/>
            <w:gridSpan w:val="4"/>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430" w:type="dxa"/>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四、平台建设</w:t>
            </w:r>
          </w:p>
        </w:tc>
        <w:tc>
          <w:tcPr>
            <w:tcW w:w="973"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5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（八）政府网站</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网页展现</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320"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网站内容展示情况</w:t>
            </w:r>
          </w:p>
        </w:tc>
        <w:tc>
          <w:tcPr>
            <w:tcW w:w="70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网站内容是否清晰展示发布时间，时间格式为</w:t>
            </w:r>
            <w:r>
              <w:rPr>
                <w:rFonts w:ascii="宋体" w:hAnsi="宋体" w:cs="宋体"/>
                <w:kern w:val="0"/>
                <w:szCs w:val="21"/>
              </w:rPr>
              <w:t>YYYY—MM—DD HH∶MM；文章页是否标明信息来源，并具备转载分享功能。</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247" w:type="dxa"/>
            <w:gridSpan w:val="4"/>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430" w:type="dxa"/>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rPr>
                <w:rFonts w:ascii="宋体" w:hAnsi="宋体" w:cs="宋体"/>
                <w:kern w:val="0"/>
                <w:szCs w:val="21"/>
              </w:rPr>
            </w:pPr>
          </w:p>
        </w:tc>
        <w:tc>
          <w:tcPr>
            <w:tcW w:w="1153" w:type="dxa"/>
            <w:vMerge w:val="continue"/>
            <w:shd w:val="clear" w:color="auto" w:fill="FFFFFF"/>
            <w:noWrap w:val="0"/>
            <w:vAlign w:val="center"/>
          </w:tcPr>
          <w:p>
            <w:pPr>
              <w:rPr>
                <w:rFonts w:ascii="宋体" w:hAnsi="宋体" w:cs="宋体"/>
                <w:kern w:val="0"/>
                <w:szCs w:val="21"/>
              </w:rPr>
            </w:pPr>
          </w:p>
        </w:tc>
        <w:tc>
          <w:tcPr>
            <w:tcW w:w="689" w:type="dxa"/>
            <w:vMerge w:val="continue"/>
            <w:shd w:val="clear" w:color="auto" w:fill="FFFFFF"/>
            <w:noWrap w:val="0"/>
            <w:vAlign w:val="center"/>
          </w:tcPr>
          <w:p>
            <w:pPr>
              <w:jc w:val="center"/>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网站页面内容是否便于复制、保存和打印。</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247" w:type="dxa"/>
            <w:gridSpan w:val="4"/>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430" w:type="dxa"/>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rPr>
                <w:rFonts w:ascii="宋体" w:hAnsi="宋体" w:cs="宋体"/>
                <w:kern w:val="0"/>
                <w:szCs w:val="21"/>
              </w:rPr>
            </w:pPr>
          </w:p>
        </w:tc>
        <w:tc>
          <w:tcPr>
            <w:tcW w:w="1153" w:type="dxa"/>
            <w:vMerge w:val="continue"/>
            <w:shd w:val="clear" w:color="auto" w:fill="FFFFFF"/>
            <w:noWrap w:val="0"/>
            <w:vAlign w:val="center"/>
          </w:tcPr>
          <w:p>
            <w:pPr>
              <w:rPr>
                <w:rFonts w:ascii="宋体" w:hAnsi="宋体" w:cs="宋体"/>
                <w:kern w:val="0"/>
                <w:szCs w:val="21"/>
              </w:rPr>
            </w:pPr>
          </w:p>
        </w:tc>
        <w:tc>
          <w:tcPr>
            <w:tcW w:w="689" w:type="dxa"/>
            <w:vMerge w:val="continue"/>
            <w:shd w:val="clear" w:color="auto" w:fill="FFFFFF"/>
            <w:noWrap w:val="0"/>
            <w:vAlign w:val="center"/>
          </w:tcPr>
          <w:p>
            <w:pPr>
              <w:jc w:val="center"/>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vMerge w:val="continue"/>
            <w:shd w:val="clear" w:color="auto" w:fill="FFFFFF"/>
            <w:noWrap w:val="0"/>
            <w:vAlign w:val="center"/>
          </w:tcPr>
          <w:p>
            <w:pPr>
              <w:widowControl/>
              <w:jc w:val="left"/>
              <w:rPr>
                <w:rFonts w:ascii="宋体" w:hAnsi="宋体" w:cs="宋体"/>
                <w:kern w:val="0"/>
                <w:szCs w:val="21"/>
              </w:rPr>
            </w:pPr>
          </w:p>
        </w:tc>
        <w:tc>
          <w:tcPr>
            <w:tcW w:w="709" w:type="dxa"/>
            <w:vMerge w:val="continue"/>
            <w:shd w:val="clear" w:color="auto" w:fill="FFFFFF"/>
            <w:noWrap w:val="0"/>
            <w:vAlign w:val="center"/>
          </w:tcPr>
          <w:p>
            <w:pPr>
              <w:widowControl/>
              <w:jc w:val="left"/>
              <w:rPr>
                <w:rFonts w:ascii="宋体" w:hAnsi="宋体" w:cs="宋体"/>
                <w:kern w:val="0"/>
                <w:szCs w:val="21"/>
              </w:rPr>
            </w:pP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网站尽量避免使用悬浮、闪烁等方式，确需使用悬浮框的是否具备关闭功能。</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247" w:type="dxa"/>
            <w:gridSpan w:val="4"/>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430" w:type="dxa"/>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rPr>
                <w:rFonts w:ascii="宋体" w:hAnsi="宋体" w:cs="宋体"/>
                <w:kern w:val="0"/>
                <w:szCs w:val="21"/>
              </w:rPr>
            </w:pPr>
          </w:p>
        </w:tc>
        <w:tc>
          <w:tcPr>
            <w:tcW w:w="115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（九）政务</w:t>
            </w:r>
            <w:r>
              <w:rPr>
                <w:rFonts w:ascii="宋体" w:hAnsi="宋体" w:cs="宋体"/>
                <w:kern w:val="0"/>
                <w:szCs w:val="21"/>
              </w:rPr>
              <w:t>新媒体</w:t>
            </w:r>
          </w:p>
        </w:tc>
        <w:tc>
          <w:tcPr>
            <w:tcW w:w="689"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0%</w:t>
            </w:r>
          </w:p>
        </w:tc>
        <w:tc>
          <w:tcPr>
            <w:tcW w:w="1103"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管理机制</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管理制度</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建立健全政务新媒体管理相关工作制度，明确做好开设整合、内容保障、安全防护、监督管理等工作，包括是否建立信息发布审核，严格把关发布内容，确保信息准确规范；是否建立网民留言审看、处理和反馈机制，有序开展互动回应；是否建立协同机制，转载转发重要政务信息。</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开设及更新情况</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70%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渠道设置</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网站首页显著位置是否设置本级政府政务新媒体，且链接有效。</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内容更新</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监测时间点前</w:t>
            </w:r>
            <w:r>
              <w:rPr>
                <w:rFonts w:ascii="宋体" w:hAnsi="宋体" w:cs="宋体"/>
                <w:kern w:val="0"/>
                <w:szCs w:val="21"/>
              </w:rPr>
              <w:t>2周内，所开通的政务新媒体内容是否更新。</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主办政务新媒体的部门及镇办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五、制度建设与组织保障</w:t>
            </w:r>
          </w:p>
          <w:p>
            <w:pPr>
              <w:rPr>
                <w:rFonts w:ascii="宋体" w:hAnsi="宋体" w:cs="宋体"/>
                <w:kern w:val="0"/>
                <w:szCs w:val="21"/>
              </w:rPr>
            </w:pPr>
          </w:p>
        </w:tc>
        <w:tc>
          <w:tcPr>
            <w:tcW w:w="973" w:type="dxa"/>
            <w:vMerge w:val="restart"/>
            <w:shd w:val="clear" w:color="auto" w:fill="FFFFFF"/>
            <w:noWrap w:val="0"/>
            <w:vAlign w:val="center"/>
          </w:tcPr>
          <w:p>
            <w:pPr>
              <w:jc w:val="center"/>
              <w:rPr>
                <w:rFonts w:ascii="宋体" w:hAnsi="宋体" w:cs="宋体"/>
                <w:kern w:val="0"/>
                <w:szCs w:val="21"/>
              </w:rPr>
            </w:pPr>
            <w:r>
              <w:rPr>
                <w:rFonts w:ascii="宋体" w:hAnsi="宋体" w:cs="宋体"/>
                <w:kern w:val="0"/>
                <w:szCs w:val="21"/>
              </w:rPr>
              <w:t>10%</w:t>
            </w:r>
          </w:p>
        </w:tc>
        <w:tc>
          <w:tcPr>
            <w:tcW w:w="115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（十）组织保障</w:t>
            </w:r>
          </w:p>
        </w:tc>
        <w:tc>
          <w:tcPr>
            <w:tcW w:w="689" w:type="dxa"/>
            <w:vMerge w:val="restart"/>
            <w:shd w:val="clear" w:color="auto" w:fill="FFFFFF"/>
            <w:noWrap w:val="0"/>
            <w:vAlign w:val="center"/>
          </w:tcPr>
          <w:p>
            <w:pPr>
              <w:widowControl/>
              <w:rPr>
                <w:rFonts w:ascii="宋体" w:hAnsi="宋体" w:cs="宋体"/>
                <w:kern w:val="0"/>
                <w:szCs w:val="21"/>
              </w:rPr>
            </w:pPr>
            <w:r>
              <w:rPr>
                <w:rFonts w:ascii="宋体" w:hAnsi="宋体" w:cs="宋体"/>
                <w:kern w:val="0"/>
                <w:szCs w:val="21"/>
              </w:rPr>
              <w:t>20%</w:t>
            </w: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队伍建设</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60%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分管领导</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是否公开政务公开分管领导（各县级政府确定一位县级政府领导分管，并在网站上公开其职责）。</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jc w:val="center"/>
              <w:rPr>
                <w:rFonts w:ascii="宋体" w:hAnsi="宋体" w:cs="宋体"/>
                <w:kern w:val="0"/>
                <w:szCs w:val="21"/>
              </w:rPr>
            </w:pPr>
          </w:p>
        </w:tc>
        <w:tc>
          <w:tcPr>
            <w:tcW w:w="1153" w:type="dxa"/>
            <w:vMerge w:val="continue"/>
            <w:shd w:val="clear" w:color="auto" w:fill="FFFFFF"/>
            <w:noWrap w:val="0"/>
            <w:vAlign w:val="center"/>
          </w:tcPr>
          <w:p>
            <w:pPr>
              <w:rPr>
                <w:rFonts w:ascii="宋体" w:hAnsi="宋体" w:cs="宋体"/>
                <w:kern w:val="0"/>
                <w:szCs w:val="21"/>
              </w:rPr>
            </w:pPr>
          </w:p>
        </w:tc>
        <w:tc>
          <w:tcPr>
            <w:tcW w:w="689" w:type="dxa"/>
            <w:vMerge w:val="continue"/>
            <w:shd w:val="clear" w:color="auto" w:fill="FFFFFF"/>
            <w:noWrap w:val="0"/>
            <w:vAlign w:val="center"/>
          </w:tcPr>
          <w:p>
            <w:pPr>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工作机构</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是否根据机构改革情况和政务公开新任务新要求新职责，设置专门的政务公开工作机构。</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jc w:val="center"/>
              <w:rPr>
                <w:rFonts w:ascii="宋体" w:hAnsi="宋体" w:cs="宋体"/>
                <w:kern w:val="0"/>
                <w:szCs w:val="21"/>
              </w:rPr>
            </w:pPr>
          </w:p>
        </w:tc>
        <w:tc>
          <w:tcPr>
            <w:tcW w:w="1153" w:type="dxa"/>
            <w:vMerge w:val="continue"/>
            <w:shd w:val="clear" w:color="auto" w:fill="FFFFFF"/>
            <w:noWrap w:val="0"/>
            <w:vAlign w:val="center"/>
          </w:tcPr>
          <w:p>
            <w:pPr>
              <w:rPr>
                <w:rFonts w:ascii="宋体" w:hAnsi="宋体" w:cs="宋体"/>
                <w:kern w:val="0"/>
                <w:szCs w:val="21"/>
              </w:rPr>
            </w:pPr>
          </w:p>
        </w:tc>
        <w:tc>
          <w:tcPr>
            <w:tcW w:w="689" w:type="dxa"/>
            <w:vMerge w:val="continue"/>
            <w:shd w:val="clear" w:color="auto" w:fill="FFFFFF"/>
            <w:noWrap w:val="0"/>
            <w:vAlign w:val="center"/>
          </w:tcPr>
          <w:p>
            <w:pPr>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专职人员</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是否配备专职人员。</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jc w:val="center"/>
              <w:rPr>
                <w:rFonts w:ascii="宋体" w:hAnsi="宋体" w:cs="宋体"/>
                <w:kern w:val="0"/>
                <w:szCs w:val="21"/>
              </w:rPr>
            </w:pPr>
          </w:p>
        </w:tc>
        <w:tc>
          <w:tcPr>
            <w:tcW w:w="1153" w:type="dxa"/>
            <w:vMerge w:val="continue"/>
            <w:shd w:val="clear" w:color="auto" w:fill="FFFFFF"/>
            <w:noWrap w:val="0"/>
            <w:vAlign w:val="center"/>
          </w:tcPr>
          <w:p>
            <w:pPr>
              <w:rPr>
                <w:rFonts w:ascii="宋体" w:hAnsi="宋体" w:cs="宋体"/>
                <w:kern w:val="0"/>
                <w:szCs w:val="21"/>
              </w:rPr>
            </w:pPr>
          </w:p>
        </w:tc>
        <w:tc>
          <w:tcPr>
            <w:tcW w:w="689" w:type="dxa"/>
            <w:vMerge w:val="continue"/>
            <w:shd w:val="clear" w:color="auto" w:fill="FFFFFF"/>
            <w:noWrap w:val="0"/>
            <w:vAlign w:val="center"/>
          </w:tcPr>
          <w:p>
            <w:pPr>
              <w:rPr>
                <w:rFonts w:ascii="宋体" w:hAnsi="宋体" w:cs="宋体"/>
                <w:kern w:val="0"/>
                <w:szCs w:val="21"/>
              </w:rPr>
            </w:pPr>
          </w:p>
        </w:tc>
        <w:tc>
          <w:tcPr>
            <w:tcW w:w="110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经费保障</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纳入财政预算</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是否将政府网站内容保障、运行维护以及其他平台建设等经费纳入年度财政预算。</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jc w:val="center"/>
              <w:rPr>
                <w:rFonts w:ascii="宋体" w:hAnsi="宋体" w:cs="宋体"/>
                <w:kern w:val="0"/>
                <w:szCs w:val="21"/>
              </w:rPr>
            </w:pPr>
          </w:p>
        </w:tc>
        <w:tc>
          <w:tcPr>
            <w:tcW w:w="1153" w:type="dxa"/>
            <w:vMerge w:val="continue"/>
            <w:shd w:val="clear" w:color="auto" w:fill="FFFFFF"/>
            <w:noWrap w:val="0"/>
            <w:vAlign w:val="center"/>
          </w:tcPr>
          <w:p>
            <w:pPr>
              <w:rPr>
                <w:rFonts w:ascii="宋体" w:hAnsi="宋体" w:cs="宋体"/>
                <w:kern w:val="0"/>
                <w:szCs w:val="21"/>
              </w:rPr>
            </w:pPr>
          </w:p>
        </w:tc>
        <w:tc>
          <w:tcPr>
            <w:tcW w:w="689" w:type="dxa"/>
            <w:vMerge w:val="continue"/>
            <w:shd w:val="clear" w:color="auto" w:fill="FFFFFF"/>
            <w:noWrap w:val="0"/>
            <w:vAlign w:val="center"/>
          </w:tcPr>
          <w:p>
            <w:pPr>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经费落实</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政务公开、政务服务方面的人员培训、会议组织、信息采编等经费落实情况。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信息化办</w:t>
            </w:r>
          </w:p>
          <w:p>
            <w:pPr>
              <w:widowControl/>
              <w:rPr>
                <w:rFonts w:hint="eastAsia" w:ascii="宋体" w:hAnsi="宋体" w:cs="宋体"/>
                <w:kern w:val="0"/>
                <w:szCs w:val="21"/>
                <w:lang w:eastAsia="zh-CN"/>
              </w:rPr>
            </w:pPr>
            <w:r>
              <w:rPr>
                <w:rFonts w:hint="eastAsia" w:ascii="宋体" w:hAnsi="宋体" w:cs="宋体"/>
                <w:kern w:val="0"/>
                <w:szCs w:val="21"/>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rPr>
                <w:rFonts w:ascii="宋体" w:hAnsi="宋体" w:cs="宋体"/>
                <w:kern w:val="0"/>
                <w:szCs w:val="21"/>
              </w:rPr>
            </w:pPr>
          </w:p>
        </w:tc>
        <w:tc>
          <w:tcPr>
            <w:tcW w:w="973" w:type="dxa"/>
            <w:vMerge w:val="continue"/>
            <w:shd w:val="clear" w:color="auto" w:fill="FFFFFF"/>
            <w:noWrap w:val="0"/>
            <w:vAlign w:val="center"/>
          </w:tcPr>
          <w:p>
            <w:pPr>
              <w:jc w:val="center"/>
              <w:rPr>
                <w:rFonts w:ascii="宋体" w:hAnsi="宋体" w:cs="宋体"/>
                <w:kern w:val="0"/>
                <w:szCs w:val="21"/>
              </w:rPr>
            </w:pPr>
          </w:p>
        </w:tc>
        <w:tc>
          <w:tcPr>
            <w:tcW w:w="1153"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（十一）学习、落实《政府信息公开条例》情况</w:t>
            </w:r>
          </w:p>
        </w:tc>
        <w:tc>
          <w:tcPr>
            <w:tcW w:w="689" w:type="dxa"/>
            <w:vMerge w:val="restart"/>
            <w:shd w:val="clear" w:color="auto" w:fill="FFFFFF"/>
            <w:noWrap w:val="0"/>
            <w:vAlign w:val="center"/>
          </w:tcPr>
          <w:p>
            <w:pPr>
              <w:jc w:val="center"/>
              <w:rPr>
                <w:rFonts w:ascii="宋体" w:hAnsi="宋体" w:cs="宋体"/>
                <w:kern w:val="0"/>
                <w:szCs w:val="21"/>
              </w:rPr>
            </w:pPr>
            <w:r>
              <w:rPr>
                <w:rFonts w:ascii="宋体" w:hAnsi="宋体" w:cs="宋体"/>
                <w:kern w:val="0"/>
                <w:szCs w:val="21"/>
              </w:rPr>
              <w:t>20%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学习《政府信息公开条例》情况</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学习《政府信息公开条例》情况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是否组织培训、学习新修订的《政府信息公开条例》。</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eastAsia="宋体" w:cs="宋体"/>
                <w:kern w:val="0"/>
                <w:szCs w:val="21"/>
                <w:lang w:val="en-US" w:eastAsia="zh-CN"/>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149" w:type="dxa"/>
            <w:vMerge w:val="continue"/>
            <w:shd w:val="clear" w:color="auto" w:fill="FFFFFF"/>
            <w:noWrap w:val="0"/>
            <w:vAlign w:val="center"/>
          </w:tcPr>
          <w:p>
            <w:pPr>
              <w:widowControl/>
              <w:rPr>
                <w:rFonts w:ascii="宋体" w:hAnsi="宋体" w:cs="宋体"/>
                <w:kern w:val="0"/>
                <w:szCs w:val="21"/>
              </w:rPr>
            </w:pPr>
          </w:p>
        </w:tc>
        <w:tc>
          <w:tcPr>
            <w:tcW w:w="973" w:type="dxa"/>
            <w:vMerge w:val="continue"/>
            <w:shd w:val="clear" w:color="auto" w:fill="FFFFFF"/>
            <w:noWrap w:val="0"/>
            <w:vAlign w:val="center"/>
          </w:tcPr>
          <w:p>
            <w:pPr>
              <w:widowControl/>
              <w:jc w:val="center"/>
              <w:rPr>
                <w:rFonts w:ascii="宋体" w:hAnsi="宋体" w:cs="宋体"/>
                <w:kern w:val="0"/>
                <w:szCs w:val="21"/>
              </w:rPr>
            </w:pPr>
          </w:p>
        </w:tc>
        <w:tc>
          <w:tcPr>
            <w:tcW w:w="1153" w:type="dxa"/>
            <w:vMerge w:val="continue"/>
            <w:shd w:val="clear" w:color="auto" w:fill="FFFFFF"/>
            <w:noWrap w:val="0"/>
            <w:vAlign w:val="center"/>
          </w:tcPr>
          <w:p>
            <w:pPr>
              <w:widowControl/>
              <w:rPr>
                <w:rFonts w:ascii="宋体" w:hAnsi="宋体" w:cs="宋体"/>
                <w:kern w:val="0"/>
                <w:szCs w:val="21"/>
              </w:rPr>
            </w:pPr>
          </w:p>
        </w:tc>
        <w:tc>
          <w:tcPr>
            <w:tcW w:w="689" w:type="dxa"/>
            <w:vMerge w:val="continue"/>
            <w:shd w:val="clear" w:color="auto" w:fill="FFFFFF"/>
            <w:noWrap w:val="0"/>
            <w:vAlign w:val="center"/>
          </w:tcPr>
          <w:p>
            <w:pPr>
              <w:widowControl/>
              <w:jc w:val="center"/>
              <w:rPr>
                <w:rFonts w:ascii="宋体" w:hAnsi="宋体" w:cs="宋体"/>
                <w:kern w:val="0"/>
                <w:szCs w:val="21"/>
              </w:rPr>
            </w:pPr>
          </w:p>
        </w:tc>
        <w:tc>
          <w:tcPr>
            <w:tcW w:w="1103" w:type="dxa"/>
            <w:vMerge w:val="continue"/>
            <w:shd w:val="clear" w:color="auto" w:fill="FFFFFF"/>
            <w:noWrap w:val="0"/>
            <w:vAlign w:val="center"/>
          </w:tcPr>
          <w:p>
            <w:pPr>
              <w:widowControl/>
              <w:jc w:val="center"/>
              <w:rPr>
                <w:rFonts w:ascii="宋体" w:hAnsi="宋体" w:cs="宋体"/>
                <w:kern w:val="0"/>
                <w:szCs w:val="21"/>
              </w:rPr>
            </w:pPr>
          </w:p>
        </w:tc>
        <w:tc>
          <w:tcPr>
            <w:tcW w:w="696" w:type="dxa"/>
            <w:vMerge w:val="continue"/>
            <w:shd w:val="clear" w:color="auto" w:fill="FFFFFF"/>
            <w:noWrap w:val="0"/>
            <w:vAlign w:val="center"/>
          </w:tcPr>
          <w:p>
            <w:pPr>
              <w:widowControl/>
              <w:jc w:val="center"/>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信息公开制度</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25%</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是否根据新修订的《政府信息公开条例》，修订完善、及时更新本级政府政府信息公开工作考核制度、社会评议制度和责任追究制度等信息公开制度。</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信息公开指南</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25%</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是否根据新修订的《政府信息公开条例》，修订完善、及时更新本级政府信息公开指南。</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信息公开目录</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25%</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是否根据新修订的《政府信息公开条例》，修订完善、及时更新政府信息公开目录；信息公开目录是否提供政府信息索引、名称、内容概述、生成日期等内容。</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各部门</w:t>
            </w:r>
          </w:p>
          <w:p>
            <w:pPr>
              <w:widowControl/>
              <w:rPr>
                <w:rFonts w:hint="eastAsia" w:ascii="宋体" w:hAnsi="宋体" w:cs="宋体"/>
                <w:kern w:val="0"/>
                <w:szCs w:val="21"/>
              </w:rPr>
            </w:pPr>
            <w:r>
              <w:rPr>
                <w:rFonts w:hint="eastAsia" w:ascii="宋体" w:hAnsi="宋体" w:cs="宋体"/>
                <w:kern w:val="0"/>
                <w:szCs w:val="21"/>
                <w:lang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政府信息公开年度报告</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25%</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是否在本单位网站以专栏形式集中展示本级政府、本行政区域内县（区）级政府及市级部门发布的政府信息公开年度报告；是否在</w:t>
            </w:r>
            <w:r>
              <w:rPr>
                <w:rFonts w:ascii="宋体" w:hAnsi="宋体" w:cs="宋体"/>
                <w:kern w:val="0"/>
                <w:szCs w:val="21"/>
              </w:rPr>
              <w:t>2019年3月31日前向社会公布本级政府2018年度政府信息公开年度报告。</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政府网站</w:t>
            </w:r>
          </w:p>
        </w:tc>
        <w:tc>
          <w:tcPr>
            <w:tcW w:w="1565" w:type="dxa"/>
            <w:gridSpan w:val="3"/>
            <w:shd w:val="clear" w:color="auto" w:fill="FFFFFF"/>
            <w:noWrap w:val="0"/>
            <w:vAlign w:val="center"/>
          </w:tcPr>
          <w:p>
            <w:pPr>
              <w:widowControl/>
              <w:rPr>
                <w:rFonts w:hint="eastAsia" w:ascii="宋体" w:hAnsi="宋体" w:eastAsia="宋体" w:cs="宋体"/>
                <w:kern w:val="0"/>
                <w:szCs w:val="21"/>
                <w:lang w:eastAsia="zh-CN"/>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（十二）试点成果推广情况</w:t>
            </w:r>
          </w:p>
        </w:tc>
        <w:tc>
          <w:tcPr>
            <w:tcW w:w="68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w:t>
            </w: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基层政务公开试点工作成果应用情况</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基层政务公开试点工作成果应用情况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是否贯彻执行政务公开标准指引。</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rPr>
              <w:t>材料报送</w:t>
            </w:r>
          </w:p>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restart"/>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五、制度建设与组织保障</w:t>
            </w:r>
          </w:p>
        </w:tc>
        <w:tc>
          <w:tcPr>
            <w:tcW w:w="973" w:type="dxa"/>
            <w:vMerge w:val="restart"/>
            <w:shd w:val="clear" w:color="auto" w:fill="FFFFFF"/>
            <w:noWrap w:val="0"/>
            <w:vAlign w:val="center"/>
          </w:tcPr>
          <w:p>
            <w:pPr>
              <w:widowControl/>
              <w:rPr>
                <w:rFonts w:ascii="宋体" w:hAnsi="宋体" w:cs="宋体"/>
                <w:kern w:val="0"/>
                <w:szCs w:val="21"/>
              </w:rPr>
            </w:pPr>
            <w:r>
              <w:rPr>
                <w:rFonts w:ascii="宋体" w:hAnsi="宋体" w:cs="宋体"/>
                <w:kern w:val="0"/>
                <w:szCs w:val="21"/>
              </w:rPr>
              <w:t>10%</w:t>
            </w: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（十三）基础工作</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20%</w:t>
            </w:r>
          </w:p>
        </w:tc>
        <w:tc>
          <w:tcPr>
            <w:tcW w:w="1103" w:type="dxa"/>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主动公开基本目录</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40%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主动公开基本目录的制定及更新</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是否督促本地区政府部门及时制定、更新主动公开基本目录。</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材料报送政府网站</w:t>
            </w:r>
          </w:p>
        </w:tc>
        <w:tc>
          <w:tcPr>
            <w:tcW w:w="1565" w:type="dxa"/>
            <w:gridSpan w:val="3"/>
            <w:shd w:val="clear" w:color="auto" w:fill="FFFFFF"/>
            <w:noWrap w:val="0"/>
            <w:vAlign w:val="center"/>
          </w:tcPr>
          <w:p>
            <w:pPr>
              <w:widowControl/>
              <w:rPr>
                <w:rFonts w:hint="eastAsia" w:ascii="宋体" w:hAnsi="宋体" w:cs="宋体"/>
                <w:kern w:val="0"/>
                <w:szCs w:val="21"/>
                <w:lang w:eastAsia="zh-CN"/>
              </w:rPr>
            </w:pPr>
            <w:r>
              <w:rPr>
                <w:rFonts w:hint="eastAsia" w:ascii="宋体" w:hAnsi="宋体" w:cs="宋体"/>
                <w:kern w:val="0"/>
                <w:szCs w:val="21"/>
                <w:lang w:eastAsia="zh-CN"/>
              </w:rPr>
              <w:t>信息化办</w:t>
            </w:r>
          </w:p>
          <w:p>
            <w:pPr>
              <w:widowControl/>
              <w:rPr>
                <w:rFonts w:hint="eastAsia" w:ascii="宋体" w:hAnsi="宋体" w:cs="宋体"/>
                <w:kern w:val="0"/>
                <w:szCs w:val="21"/>
                <w:lang w:val="en-US" w:eastAsia="zh-CN"/>
              </w:rPr>
            </w:pPr>
            <w:r>
              <w:rPr>
                <w:rFonts w:hint="eastAsia" w:ascii="宋体" w:hAnsi="宋体" w:cs="宋体"/>
                <w:kern w:val="0"/>
                <w:szCs w:val="21"/>
                <w:lang w:val="en-US" w:eastAsia="zh-CN"/>
              </w:rPr>
              <w:t>各部门</w:t>
            </w:r>
          </w:p>
          <w:p>
            <w:pPr>
              <w:widowControl/>
              <w:rPr>
                <w:rFonts w:hint="eastAsia" w:ascii="宋体" w:hAnsi="宋体" w:cs="宋体"/>
                <w:kern w:val="0"/>
                <w:szCs w:val="21"/>
                <w:lang w:val="en-US" w:eastAsia="zh-CN"/>
              </w:rPr>
            </w:pPr>
            <w:r>
              <w:rPr>
                <w:rFonts w:hint="eastAsia" w:ascii="宋体" w:hAnsi="宋体" w:cs="宋体"/>
                <w:kern w:val="0"/>
                <w:szCs w:val="21"/>
                <w:lang w:val="en-US" w:eastAsia="zh-CN"/>
              </w:rPr>
              <w:t>各镇办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jc w:val="left"/>
              <w:rPr>
                <w:rFonts w:ascii="宋体" w:hAnsi="宋体" w:cs="宋体"/>
                <w:kern w:val="0"/>
                <w:szCs w:val="21"/>
              </w:rPr>
            </w:pPr>
          </w:p>
        </w:tc>
        <w:tc>
          <w:tcPr>
            <w:tcW w:w="689" w:type="dxa"/>
            <w:vMerge w:val="continue"/>
            <w:shd w:val="clear" w:color="auto" w:fill="FFFFFF"/>
            <w:noWrap w:val="0"/>
            <w:vAlign w:val="center"/>
          </w:tcPr>
          <w:p>
            <w:pPr>
              <w:jc w:val="left"/>
              <w:rPr>
                <w:rFonts w:ascii="宋体" w:hAnsi="宋体" w:cs="宋体"/>
                <w:kern w:val="0"/>
                <w:szCs w:val="21"/>
              </w:rPr>
            </w:pP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公开台账</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公开台账建立情况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是否建立行政规章和规范性文件公开台账，确保公开的政府信息底数清晰，并做好与公文管理系统和合法性审核管理信息平台的衔接。</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材料报送</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工作经验交流</w:t>
            </w:r>
          </w:p>
        </w:tc>
        <w:tc>
          <w:tcPr>
            <w:tcW w:w="696"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《政务公开工作交流》电子刊物经验交流</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各设区市及所辖单位是否在《政务公开工作交流》电子刊物发布经验做法交流。</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jc w:val="left"/>
              <w:rPr>
                <w:rFonts w:ascii="宋体" w:hAnsi="宋体" w:cs="宋体"/>
                <w:kern w:val="0"/>
                <w:szCs w:val="21"/>
              </w:rPr>
            </w:pPr>
          </w:p>
        </w:tc>
        <w:tc>
          <w:tcPr>
            <w:tcW w:w="973" w:type="dxa"/>
            <w:vMerge w:val="continue"/>
            <w:shd w:val="clear" w:color="auto" w:fill="FFFFFF"/>
            <w:noWrap w:val="0"/>
            <w:vAlign w:val="center"/>
          </w:tcPr>
          <w:p>
            <w:pPr>
              <w:jc w:val="left"/>
              <w:rPr>
                <w:rFonts w:ascii="宋体" w:hAnsi="宋体" w:cs="宋体"/>
                <w:kern w:val="0"/>
                <w:szCs w:val="21"/>
              </w:rPr>
            </w:pPr>
          </w:p>
        </w:tc>
        <w:tc>
          <w:tcPr>
            <w:tcW w:w="1153" w:type="dxa"/>
            <w:vMerge w:val="restart"/>
            <w:shd w:val="clear" w:color="auto" w:fill="FFFFFF"/>
            <w:noWrap w:val="0"/>
            <w:vAlign w:val="center"/>
          </w:tcPr>
          <w:p>
            <w:pPr>
              <w:widowControl/>
              <w:jc w:val="center"/>
              <w:rPr>
                <w:rFonts w:ascii="宋体" w:hAnsi="宋体" w:cs="宋体"/>
                <w:kern w:val="0"/>
                <w:szCs w:val="21"/>
              </w:rPr>
            </w:pPr>
            <w:r>
              <w:rPr>
                <w:rFonts w:hint="eastAsia" w:ascii="宋体" w:hAnsi="宋体" w:cs="宋体"/>
                <w:kern w:val="0"/>
                <w:szCs w:val="21"/>
              </w:rPr>
              <w:t>（十四）主管部门检查</w:t>
            </w:r>
          </w:p>
        </w:tc>
        <w:tc>
          <w:tcPr>
            <w:tcW w:w="689"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30%</w:t>
            </w:r>
          </w:p>
        </w:tc>
        <w:tc>
          <w:tcPr>
            <w:tcW w:w="1103" w:type="dxa"/>
            <w:vMerge w:val="restart"/>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主管部门日常检查</w:t>
            </w:r>
          </w:p>
        </w:tc>
        <w:tc>
          <w:tcPr>
            <w:tcW w:w="696" w:type="dxa"/>
            <w:vMerge w:val="restart"/>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政务公开日常工作落实情况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政务公开日常工作落实、参加会议情况。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9" w:type="dxa"/>
            <w:vMerge w:val="continue"/>
            <w:shd w:val="clear" w:color="auto" w:fill="FFFFFF"/>
            <w:noWrap w:val="0"/>
            <w:vAlign w:val="center"/>
          </w:tcPr>
          <w:p>
            <w:pPr>
              <w:widowControl/>
              <w:jc w:val="left"/>
              <w:rPr>
                <w:rFonts w:ascii="宋体" w:hAnsi="宋体" w:cs="宋体"/>
                <w:kern w:val="0"/>
                <w:szCs w:val="21"/>
              </w:rPr>
            </w:pPr>
          </w:p>
        </w:tc>
        <w:tc>
          <w:tcPr>
            <w:tcW w:w="973" w:type="dxa"/>
            <w:vMerge w:val="continue"/>
            <w:shd w:val="clear" w:color="auto" w:fill="FFFFFF"/>
            <w:noWrap w:val="0"/>
            <w:vAlign w:val="center"/>
          </w:tcPr>
          <w:p>
            <w:pPr>
              <w:widowControl/>
              <w:jc w:val="left"/>
              <w:rPr>
                <w:rFonts w:ascii="宋体" w:hAnsi="宋体" w:cs="宋体"/>
                <w:kern w:val="0"/>
                <w:szCs w:val="21"/>
              </w:rPr>
            </w:pPr>
          </w:p>
        </w:tc>
        <w:tc>
          <w:tcPr>
            <w:tcW w:w="1153" w:type="dxa"/>
            <w:vMerge w:val="continue"/>
            <w:shd w:val="clear" w:color="auto" w:fill="FFFFFF"/>
            <w:noWrap w:val="0"/>
            <w:vAlign w:val="center"/>
          </w:tcPr>
          <w:p>
            <w:pPr>
              <w:widowControl/>
              <w:jc w:val="left"/>
              <w:rPr>
                <w:rFonts w:ascii="宋体" w:hAnsi="宋体" w:cs="宋体"/>
                <w:kern w:val="0"/>
                <w:szCs w:val="21"/>
              </w:rPr>
            </w:pPr>
          </w:p>
        </w:tc>
        <w:tc>
          <w:tcPr>
            <w:tcW w:w="689" w:type="dxa"/>
            <w:vMerge w:val="continue"/>
            <w:shd w:val="clear" w:color="auto" w:fill="FFFFFF"/>
            <w:noWrap w:val="0"/>
            <w:vAlign w:val="center"/>
          </w:tcPr>
          <w:p>
            <w:pPr>
              <w:widowControl/>
              <w:jc w:val="left"/>
              <w:rPr>
                <w:rFonts w:ascii="宋体" w:hAnsi="宋体" w:cs="宋体"/>
                <w:kern w:val="0"/>
                <w:szCs w:val="21"/>
              </w:rPr>
            </w:pPr>
          </w:p>
        </w:tc>
        <w:tc>
          <w:tcPr>
            <w:tcW w:w="1103" w:type="dxa"/>
            <w:vMerge w:val="continue"/>
            <w:shd w:val="clear" w:color="auto" w:fill="FFFFFF"/>
            <w:noWrap w:val="0"/>
            <w:vAlign w:val="center"/>
          </w:tcPr>
          <w:p>
            <w:pPr>
              <w:widowControl/>
              <w:jc w:val="left"/>
              <w:rPr>
                <w:rFonts w:ascii="宋体" w:hAnsi="宋体" w:cs="宋体"/>
                <w:kern w:val="0"/>
                <w:szCs w:val="21"/>
              </w:rPr>
            </w:pPr>
          </w:p>
        </w:tc>
        <w:tc>
          <w:tcPr>
            <w:tcW w:w="696" w:type="dxa"/>
            <w:vMerge w:val="continue"/>
            <w:shd w:val="clear" w:color="auto" w:fill="FFFFFF"/>
            <w:noWrap w:val="0"/>
            <w:vAlign w:val="center"/>
          </w:tcPr>
          <w:p>
            <w:pPr>
              <w:widowControl/>
              <w:jc w:val="left"/>
              <w:rPr>
                <w:rFonts w:ascii="宋体" w:hAnsi="宋体" w:cs="宋体"/>
                <w:kern w:val="0"/>
                <w:szCs w:val="21"/>
              </w:rPr>
            </w:pPr>
          </w:p>
        </w:tc>
        <w:tc>
          <w:tcPr>
            <w:tcW w:w="1320"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政务服务日常工作落实情况</w:t>
            </w:r>
          </w:p>
        </w:tc>
        <w:tc>
          <w:tcPr>
            <w:tcW w:w="709"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50%</w:t>
            </w:r>
          </w:p>
        </w:tc>
        <w:tc>
          <w:tcPr>
            <w:tcW w:w="4555" w:type="dxa"/>
            <w:shd w:val="clear" w:color="auto" w:fill="FFFFFF"/>
            <w:noWrap w:val="0"/>
            <w:vAlign w:val="center"/>
          </w:tcPr>
          <w:p>
            <w:pPr>
              <w:widowControl/>
              <w:jc w:val="left"/>
              <w:rPr>
                <w:rFonts w:ascii="宋体" w:hAnsi="宋体" w:cs="宋体"/>
                <w:kern w:val="0"/>
                <w:szCs w:val="21"/>
              </w:rPr>
            </w:pPr>
            <w:r>
              <w:rPr>
                <w:rFonts w:hint="eastAsia" w:ascii="宋体" w:hAnsi="宋体" w:cs="宋体"/>
                <w:kern w:val="0"/>
                <w:szCs w:val="21"/>
              </w:rPr>
              <w:t>政务服务日常工作落实、参加会议情况。</w:t>
            </w:r>
          </w:p>
        </w:tc>
        <w:tc>
          <w:tcPr>
            <w:tcW w:w="771" w:type="dxa"/>
            <w:shd w:val="clear" w:color="auto" w:fill="FFFFFF"/>
            <w:noWrap w:val="0"/>
            <w:vAlign w:val="center"/>
          </w:tcPr>
          <w:p>
            <w:pPr>
              <w:widowControl/>
              <w:jc w:val="center"/>
              <w:rPr>
                <w:rFonts w:ascii="宋体" w:hAnsi="宋体" w:cs="宋体"/>
                <w:kern w:val="0"/>
                <w:szCs w:val="21"/>
              </w:rPr>
            </w:pPr>
            <w:r>
              <w:rPr>
                <w:rFonts w:ascii="宋体" w:hAnsi="宋体" w:cs="宋体"/>
                <w:kern w:val="0"/>
                <w:szCs w:val="21"/>
              </w:rPr>
              <w:t>100%</w:t>
            </w:r>
          </w:p>
        </w:tc>
        <w:tc>
          <w:tcPr>
            <w:tcW w:w="1112" w:type="dxa"/>
            <w:gridSpan w:val="2"/>
            <w:shd w:val="clear" w:color="auto" w:fill="FFFFFF"/>
            <w:noWrap w:val="0"/>
            <w:vAlign w:val="center"/>
          </w:tcPr>
          <w:p>
            <w:pPr>
              <w:widowControl/>
              <w:rPr>
                <w:rFonts w:ascii="宋体" w:hAnsi="宋体" w:cs="宋体"/>
                <w:kern w:val="0"/>
                <w:szCs w:val="21"/>
              </w:rPr>
            </w:pPr>
            <w:r>
              <w:rPr>
                <w:rFonts w:hint="eastAsia" w:ascii="宋体" w:hAnsi="宋体" w:cs="宋体"/>
                <w:kern w:val="0"/>
                <w:szCs w:val="21"/>
              </w:rPr>
              <w:t>主管单位</w:t>
            </w:r>
          </w:p>
          <w:p>
            <w:pPr>
              <w:widowControl/>
              <w:rPr>
                <w:rFonts w:ascii="宋体" w:hAnsi="宋体" w:cs="宋体"/>
                <w:kern w:val="0"/>
                <w:szCs w:val="21"/>
              </w:rPr>
            </w:pPr>
            <w:r>
              <w:rPr>
                <w:rFonts w:hint="eastAsia" w:ascii="宋体" w:hAnsi="宋体" w:cs="宋体"/>
                <w:kern w:val="0"/>
                <w:szCs w:val="21"/>
              </w:rPr>
              <w:t>考核</w:t>
            </w:r>
          </w:p>
        </w:tc>
        <w:tc>
          <w:tcPr>
            <w:tcW w:w="1565" w:type="dxa"/>
            <w:gridSpan w:val="3"/>
            <w:shd w:val="clear" w:color="auto" w:fill="FFFFFF"/>
            <w:noWrap w:val="0"/>
            <w:vAlign w:val="center"/>
          </w:tcPr>
          <w:p>
            <w:pPr>
              <w:widowControl/>
              <w:rPr>
                <w:rFonts w:hint="eastAsia" w:ascii="宋体" w:hAnsi="宋体" w:cs="宋体"/>
                <w:kern w:val="0"/>
                <w:szCs w:val="21"/>
              </w:rPr>
            </w:pPr>
            <w:r>
              <w:rPr>
                <w:rFonts w:hint="eastAsia" w:ascii="宋体" w:hAnsi="宋体" w:cs="宋体"/>
                <w:kern w:val="0"/>
                <w:szCs w:val="21"/>
                <w:lang w:eastAsia="zh-CN"/>
              </w:rPr>
              <w:t>信息化办</w:t>
            </w:r>
          </w:p>
        </w:tc>
      </w:tr>
    </w:tbl>
    <w:p>
      <w:pPr>
        <w:rPr>
          <w:rFonts w:ascii="宋体" w:hAnsi="宋体"/>
          <w:szCs w:val="21"/>
        </w:rPr>
      </w:pP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1.重大建设项目批准和实施领域信息公开</w:t>
      </w:r>
      <w:r>
        <w:rPr>
          <w:rFonts w:hint="eastAsia" w:ascii="宋体" w:hAnsi="宋体" w:cs="宋体"/>
          <w:kern w:val="0"/>
          <w:szCs w:val="21"/>
          <w:lang w:eastAsia="zh-CN"/>
        </w:rPr>
        <w:t>涉关</w:t>
      </w:r>
      <w:r>
        <w:rPr>
          <w:rFonts w:hint="eastAsia" w:ascii="宋体" w:hAnsi="宋体" w:cs="宋体"/>
          <w:kern w:val="0"/>
          <w:szCs w:val="21"/>
        </w:rPr>
        <w:t>单位：</w:t>
      </w:r>
      <w:r>
        <w:rPr>
          <w:rFonts w:hint="eastAsia" w:ascii="宋体" w:hAnsi="宋体" w:cs="宋体"/>
          <w:kern w:val="0"/>
          <w:szCs w:val="21"/>
          <w:lang w:eastAsia="zh-CN"/>
        </w:rPr>
        <w:t>县</w:t>
      </w:r>
      <w:r>
        <w:rPr>
          <w:rFonts w:hint="eastAsia" w:ascii="宋体" w:hAnsi="宋体" w:cs="宋体"/>
          <w:kern w:val="0"/>
          <w:szCs w:val="21"/>
        </w:rPr>
        <w:t>发展改革</w:t>
      </w:r>
      <w:r>
        <w:rPr>
          <w:rFonts w:hint="eastAsia" w:ascii="宋体" w:hAnsi="宋体" w:cs="宋体"/>
          <w:kern w:val="0"/>
          <w:szCs w:val="21"/>
          <w:lang w:eastAsia="zh-CN"/>
        </w:rPr>
        <w:t>局</w:t>
      </w:r>
      <w:r>
        <w:rPr>
          <w:rFonts w:hint="eastAsia" w:ascii="宋体" w:hAnsi="宋体" w:cs="宋体"/>
          <w:kern w:val="0"/>
          <w:szCs w:val="21"/>
        </w:rPr>
        <w:t>、</w:t>
      </w:r>
      <w:r>
        <w:rPr>
          <w:rFonts w:hint="eastAsia" w:ascii="宋体" w:hAnsi="宋体" w:cs="宋体"/>
          <w:kern w:val="0"/>
          <w:szCs w:val="21"/>
          <w:lang w:eastAsia="zh-CN"/>
        </w:rPr>
        <w:t>市生态</w:t>
      </w:r>
      <w:r>
        <w:rPr>
          <w:rFonts w:hint="eastAsia" w:ascii="宋体" w:hAnsi="宋体" w:cs="宋体"/>
          <w:kern w:val="0"/>
          <w:szCs w:val="21"/>
        </w:rPr>
        <w:t>环境局</w:t>
      </w:r>
      <w:r>
        <w:rPr>
          <w:rFonts w:hint="eastAsia" w:ascii="宋体" w:hAnsi="宋体" w:cs="宋体"/>
          <w:kern w:val="0"/>
          <w:szCs w:val="21"/>
          <w:lang w:eastAsia="zh-CN"/>
        </w:rPr>
        <w:t>佛坪分局</w:t>
      </w:r>
      <w:r>
        <w:rPr>
          <w:rFonts w:hint="eastAsia" w:ascii="宋体" w:hAnsi="宋体" w:cs="宋体"/>
          <w:kern w:val="0"/>
          <w:szCs w:val="21"/>
        </w:rPr>
        <w:t>、</w:t>
      </w:r>
      <w:r>
        <w:rPr>
          <w:rFonts w:hint="eastAsia" w:ascii="宋体" w:hAnsi="宋体" w:cs="宋体"/>
          <w:kern w:val="0"/>
          <w:szCs w:val="21"/>
          <w:lang w:eastAsia="zh-CN"/>
        </w:rPr>
        <w:t>县</w:t>
      </w:r>
      <w:r>
        <w:rPr>
          <w:rFonts w:hint="eastAsia" w:ascii="宋体" w:hAnsi="宋体" w:cs="宋体"/>
          <w:kern w:val="0"/>
          <w:szCs w:val="21"/>
        </w:rPr>
        <w:t>住建局、</w:t>
      </w:r>
      <w:r>
        <w:rPr>
          <w:rFonts w:hint="eastAsia" w:ascii="宋体" w:hAnsi="宋体" w:cs="宋体"/>
          <w:kern w:val="0"/>
          <w:szCs w:val="21"/>
          <w:lang w:eastAsia="zh-CN"/>
        </w:rPr>
        <w:t>县</w:t>
      </w:r>
      <w:r>
        <w:rPr>
          <w:rFonts w:hint="eastAsia" w:ascii="宋体" w:hAnsi="宋体" w:cs="宋体"/>
          <w:kern w:val="0"/>
          <w:szCs w:val="21"/>
        </w:rPr>
        <w:t>水利局、</w:t>
      </w:r>
      <w:r>
        <w:rPr>
          <w:rFonts w:hint="eastAsia" w:ascii="宋体" w:hAnsi="宋体" w:cs="宋体"/>
          <w:kern w:val="0"/>
          <w:szCs w:val="21"/>
          <w:lang w:eastAsia="zh-CN"/>
        </w:rPr>
        <w:t>县</w:t>
      </w:r>
      <w:r>
        <w:rPr>
          <w:rFonts w:hint="eastAsia" w:ascii="宋体" w:hAnsi="宋体" w:cs="宋体"/>
          <w:kern w:val="0"/>
          <w:szCs w:val="21"/>
        </w:rPr>
        <w:t>财政局、</w:t>
      </w:r>
      <w:r>
        <w:rPr>
          <w:rFonts w:hint="eastAsia" w:ascii="宋体" w:hAnsi="宋体" w:cs="宋体"/>
          <w:kern w:val="0"/>
          <w:szCs w:val="21"/>
          <w:lang w:eastAsia="zh-CN"/>
        </w:rPr>
        <w:t>县</w:t>
      </w:r>
      <w:r>
        <w:rPr>
          <w:rFonts w:hint="eastAsia" w:ascii="宋体" w:hAnsi="宋体" w:cs="宋体"/>
          <w:kern w:val="0"/>
          <w:szCs w:val="21"/>
        </w:rPr>
        <w:t>应急管理局、</w:t>
      </w:r>
      <w:r>
        <w:rPr>
          <w:rFonts w:hint="eastAsia" w:ascii="宋体" w:hAnsi="宋体" w:cs="宋体"/>
          <w:kern w:val="0"/>
          <w:szCs w:val="21"/>
          <w:lang w:eastAsia="zh-CN"/>
        </w:rPr>
        <w:t>县</w:t>
      </w:r>
      <w:r>
        <w:rPr>
          <w:rFonts w:hint="eastAsia" w:ascii="宋体" w:hAnsi="宋体" w:cs="宋体"/>
          <w:kern w:val="0"/>
          <w:szCs w:val="21"/>
        </w:rPr>
        <w:t>市场监管局、</w:t>
      </w:r>
      <w:r>
        <w:rPr>
          <w:rFonts w:hint="eastAsia" w:ascii="宋体" w:hAnsi="宋体" w:cs="宋体"/>
          <w:kern w:val="0"/>
          <w:szCs w:val="21"/>
          <w:lang w:eastAsia="zh-CN"/>
        </w:rPr>
        <w:t>县</w:t>
      </w:r>
      <w:r>
        <w:rPr>
          <w:rFonts w:hint="eastAsia" w:ascii="宋体" w:hAnsi="宋体" w:cs="宋体"/>
          <w:kern w:val="0"/>
          <w:szCs w:val="21"/>
        </w:rPr>
        <w:t>林业局；</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2.公共资源配置领域信息公开</w:t>
      </w:r>
      <w:r>
        <w:rPr>
          <w:rFonts w:hint="eastAsia" w:ascii="宋体" w:hAnsi="宋体" w:cs="宋体"/>
          <w:kern w:val="0"/>
          <w:szCs w:val="21"/>
          <w:lang w:eastAsia="zh-CN"/>
        </w:rPr>
        <w:t>涉关</w:t>
      </w:r>
      <w:r>
        <w:rPr>
          <w:rFonts w:hint="eastAsia" w:ascii="宋体" w:hAnsi="宋体" w:cs="宋体"/>
          <w:kern w:val="0"/>
          <w:szCs w:val="21"/>
        </w:rPr>
        <w:t>单位：</w:t>
      </w:r>
      <w:r>
        <w:rPr>
          <w:rFonts w:hint="eastAsia" w:ascii="宋体" w:hAnsi="宋体" w:cs="宋体"/>
          <w:kern w:val="0"/>
          <w:szCs w:val="21"/>
          <w:lang w:eastAsia="zh-CN"/>
        </w:rPr>
        <w:t>县</w:t>
      </w:r>
      <w:r>
        <w:rPr>
          <w:rFonts w:hint="eastAsia" w:ascii="宋体" w:hAnsi="宋体" w:cs="宋体"/>
          <w:kern w:val="0"/>
          <w:szCs w:val="21"/>
        </w:rPr>
        <w:t>住建局、</w:t>
      </w:r>
      <w:r>
        <w:rPr>
          <w:rFonts w:hint="eastAsia" w:ascii="宋体" w:hAnsi="宋体" w:cs="宋体"/>
          <w:kern w:val="0"/>
          <w:szCs w:val="21"/>
          <w:lang w:eastAsia="zh-CN"/>
        </w:rPr>
        <w:t>县</w:t>
      </w:r>
      <w:r>
        <w:rPr>
          <w:rFonts w:hint="eastAsia" w:ascii="宋体" w:hAnsi="宋体" w:cs="宋体"/>
          <w:kern w:val="0"/>
          <w:szCs w:val="21"/>
        </w:rPr>
        <w:t>民政局、</w:t>
      </w:r>
      <w:r>
        <w:rPr>
          <w:rFonts w:hint="eastAsia" w:ascii="宋体" w:hAnsi="宋体" w:cs="宋体"/>
          <w:kern w:val="0"/>
          <w:szCs w:val="21"/>
          <w:lang w:eastAsia="zh-CN"/>
        </w:rPr>
        <w:t>县</w:t>
      </w:r>
      <w:r>
        <w:rPr>
          <w:rFonts w:hint="eastAsia" w:ascii="宋体" w:hAnsi="宋体" w:cs="宋体"/>
          <w:kern w:val="0"/>
          <w:szCs w:val="21"/>
        </w:rPr>
        <w:t>发展改革</w:t>
      </w:r>
      <w:r>
        <w:rPr>
          <w:rFonts w:hint="eastAsia" w:ascii="宋体" w:hAnsi="宋体" w:cs="宋体"/>
          <w:kern w:val="0"/>
          <w:szCs w:val="21"/>
          <w:lang w:eastAsia="zh-CN"/>
        </w:rPr>
        <w:t>局</w:t>
      </w:r>
      <w:r>
        <w:rPr>
          <w:rFonts w:hint="eastAsia" w:ascii="宋体" w:hAnsi="宋体" w:cs="宋体"/>
          <w:kern w:val="0"/>
          <w:szCs w:val="21"/>
        </w:rPr>
        <w:t>、</w:t>
      </w:r>
      <w:r>
        <w:rPr>
          <w:rFonts w:hint="eastAsia" w:ascii="宋体" w:hAnsi="宋体" w:cs="宋体"/>
          <w:kern w:val="0"/>
          <w:szCs w:val="21"/>
          <w:lang w:eastAsia="zh-CN"/>
        </w:rPr>
        <w:t>县</w:t>
      </w:r>
      <w:r>
        <w:rPr>
          <w:rFonts w:hint="eastAsia" w:ascii="宋体" w:hAnsi="宋体" w:cs="宋体"/>
          <w:kern w:val="0"/>
          <w:szCs w:val="21"/>
        </w:rPr>
        <w:t>自然资源局、</w:t>
      </w:r>
      <w:r>
        <w:rPr>
          <w:rFonts w:hint="eastAsia" w:ascii="宋体" w:hAnsi="宋体" w:cs="宋体"/>
          <w:kern w:val="0"/>
          <w:szCs w:val="21"/>
          <w:lang w:eastAsia="zh-CN"/>
        </w:rPr>
        <w:t>县</w:t>
      </w:r>
      <w:r>
        <w:rPr>
          <w:rFonts w:hint="eastAsia" w:ascii="宋体" w:hAnsi="宋体" w:cs="宋体"/>
          <w:kern w:val="0"/>
          <w:szCs w:val="21"/>
        </w:rPr>
        <w:t>财政局、</w:t>
      </w:r>
      <w:r>
        <w:rPr>
          <w:rFonts w:hint="eastAsia" w:ascii="宋体" w:hAnsi="宋体" w:cs="宋体"/>
          <w:kern w:val="0"/>
          <w:szCs w:val="21"/>
          <w:lang w:eastAsia="zh-CN"/>
        </w:rPr>
        <w:t>县</w:t>
      </w:r>
      <w:r>
        <w:rPr>
          <w:rFonts w:hint="eastAsia" w:ascii="宋体" w:hAnsi="宋体" w:cs="宋体"/>
          <w:kern w:val="0"/>
          <w:szCs w:val="21"/>
        </w:rPr>
        <w:t>卫健</w:t>
      </w:r>
      <w:r>
        <w:rPr>
          <w:rFonts w:hint="eastAsia" w:ascii="宋体" w:hAnsi="宋体" w:cs="宋体"/>
          <w:kern w:val="0"/>
          <w:szCs w:val="21"/>
          <w:lang w:eastAsia="zh-CN"/>
        </w:rPr>
        <w:t>局</w:t>
      </w:r>
      <w:r>
        <w:rPr>
          <w:rFonts w:hint="eastAsia" w:ascii="宋体" w:hAnsi="宋体" w:cs="宋体"/>
          <w:kern w:val="0"/>
          <w:szCs w:val="21"/>
        </w:rPr>
        <w:t>、</w:t>
      </w:r>
      <w:r>
        <w:rPr>
          <w:rFonts w:hint="eastAsia" w:ascii="宋体" w:hAnsi="宋体" w:cs="宋体"/>
          <w:kern w:val="0"/>
          <w:szCs w:val="21"/>
          <w:lang w:eastAsia="zh-CN"/>
        </w:rPr>
        <w:t>市生态</w:t>
      </w:r>
      <w:r>
        <w:rPr>
          <w:rFonts w:hint="eastAsia" w:ascii="宋体" w:hAnsi="宋体" w:cs="宋体"/>
          <w:kern w:val="0"/>
          <w:szCs w:val="21"/>
        </w:rPr>
        <w:t>环境局</w:t>
      </w:r>
      <w:r>
        <w:rPr>
          <w:rFonts w:hint="eastAsia" w:ascii="宋体" w:hAnsi="宋体" w:cs="宋体"/>
          <w:kern w:val="0"/>
          <w:szCs w:val="21"/>
          <w:lang w:eastAsia="zh-CN"/>
        </w:rPr>
        <w:t>佛坪分局</w:t>
      </w:r>
      <w:r>
        <w:rPr>
          <w:rFonts w:hint="eastAsia" w:ascii="宋体" w:hAnsi="宋体" w:cs="宋体"/>
          <w:kern w:val="0"/>
          <w:szCs w:val="21"/>
        </w:rPr>
        <w:t>、</w:t>
      </w:r>
      <w:r>
        <w:rPr>
          <w:rFonts w:hint="eastAsia" w:ascii="宋体" w:hAnsi="宋体" w:cs="宋体"/>
          <w:kern w:val="0"/>
          <w:szCs w:val="21"/>
          <w:lang w:eastAsia="zh-CN"/>
        </w:rPr>
        <w:t>县</w:t>
      </w:r>
      <w:r>
        <w:rPr>
          <w:rFonts w:hint="eastAsia" w:ascii="宋体" w:hAnsi="宋体" w:cs="宋体"/>
          <w:kern w:val="0"/>
          <w:szCs w:val="21"/>
        </w:rPr>
        <w:t>交通运输局、</w:t>
      </w:r>
      <w:r>
        <w:rPr>
          <w:rFonts w:hint="eastAsia" w:ascii="宋体" w:hAnsi="宋体" w:cs="宋体"/>
          <w:kern w:val="0"/>
          <w:szCs w:val="21"/>
          <w:lang w:eastAsia="zh-CN"/>
        </w:rPr>
        <w:t>县</w:t>
      </w:r>
      <w:r>
        <w:rPr>
          <w:rFonts w:hint="eastAsia" w:ascii="宋体" w:hAnsi="宋体" w:cs="宋体"/>
          <w:kern w:val="0"/>
          <w:szCs w:val="21"/>
        </w:rPr>
        <w:t>水利局、</w:t>
      </w:r>
      <w:r>
        <w:rPr>
          <w:rFonts w:hint="eastAsia" w:ascii="宋体" w:hAnsi="宋体" w:cs="宋体"/>
          <w:kern w:val="0"/>
          <w:szCs w:val="21"/>
          <w:lang w:eastAsia="zh-CN"/>
        </w:rPr>
        <w:t>县</w:t>
      </w:r>
      <w:r>
        <w:rPr>
          <w:rFonts w:hint="eastAsia" w:ascii="宋体" w:hAnsi="宋体" w:cs="宋体"/>
          <w:kern w:val="0"/>
          <w:szCs w:val="21"/>
        </w:rPr>
        <w:t>农业农村局；</w:t>
      </w:r>
    </w:p>
    <w:p>
      <w:pPr>
        <w:spacing w:line="360" w:lineRule="auto"/>
        <w:ind w:firstLine="420" w:firstLineChars="200"/>
        <w:rPr>
          <w:rFonts w:ascii="宋体" w:hAnsi="宋体"/>
          <w:szCs w:val="21"/>
        </w:rPr>
      </w:pPr>
      <w:r>
        <w:rPr>
          <w:rFonts w:hint="eastAsia" w:ascii="宋体" w:hAnsi="宋体" w:cs="宋体"/>
          <w:kern w:val="0"/>
          <w:szCs w:val="21"/>
        </w:rPr>
        <w:t>3.社会公益事业建设领域信息公开</w:t>
      </w:r>
      <w:r>
        <w:rPr>
          <w:rFonts w:hint="eastAsia" w:ascii="宋体" w:hAnsi="宋体" w:cs="宋体"/>
          <w:kern w:val="0"/>
          <w:szCs w:val="21"/>
          <w:lang w:eastAsia="zh-CN"/>
        </w:rPr>
        <w:t>涉关</w:t>
      </w:r>
      <w:r>
        <w:rPr>
          <w:rFonts w:hint="eastAsia" w:ascii="宋体" w:hAnsi="宋体" w:cs="宋体"/>
          <w:kern w:val="0"/>
          <w:szCs w:val="21"/>
        </w:rPr>
        <w:t>单位：</w:t>
      </w:r>
      <w:r>
        <w:rPr>
          <w:rFonts w:hint="eastAsia" w:ascii="宋体" w:hAnsi="宋体" w:cs="宋体"/>
          <w:kern w:val="0"/>
          <w:szCs w:val="21"/>
          <w:lang w:eastAsia="zh-CN"/>
        </w:rPr>
        <w:t>县</w:t>
      </w:r>
      <w:r>
        <w:rPr>
          <w:rFonts w:hint="eastAsia" w:ascii="宋体" w:hAnsi="宋体" w:cs="宋体"/>
          <w:kern w:val="0"/>
          <w:szCs w:val="21"/>
        </w:rPr>
        <w:t>民政局、</w:t>
      </w:r>
      <w:r>
        <w:rPr>
          <w:rFonts w:hint="eastAsia" w:ascii="宋体" w:hAnsi="宋体" w:cs="宋体"/>
          <w:kern w:val="0"/>
          <w:szCs w:val="21"/>
          <w:lang w:eastAsia="zh-CN"/>
        </w:rPr>
        <w:t>县</w:t>
      </w:r>
      <w:r>
        <w:rPr>
          <w:rFonts w:hint="eastAsia" w:ascii="宋体" w:hAnsi="宋体" w:cs="宋体"/>
          <w:kern w:val="0"/>
          <w:szCs w:val="21"/>
        </w:rPr>
        <w:t>教</w:t>
      </w:r>
      <w:r>
        <w:rPr>
          <w:rFonts w:hint="eastAsia" w:ascii="宋体" w:hAnsi="宋体" w:cs="宋体"/>
          <w:kern w:val="0"/>
          <w:szCs w:val="21"/>
          <w:lang w:eastAsia="zh-CN"/>
        </w:rPr>
        <w:t>体</w:t>
      </w:r>
      <w:r>
        <w:rPr>
          <w:rFonts w:hint="eastAsia" w:ascii="宋体" w:hAnsi="宋体" w:cs="宋体"/>
          <w:kern w:val="0"/>
          <w:szCs w:val="21"/>
        </w:rPr>
        <w:t>局、</w:t>
      </w:r>
      <w:r>
        <w:rPr>
          <w:rFonts w:hint="eastAsia" w:ascii="宋体" w:hAnsi="宋体" w:cs="宋体"/>
          <w:kern w:val="0"/>
          <w:szCs w:val="21"/>
          <w:lang w:eastAsia="zh-CN"/>
        </w:rPr>
        <w:t>县</w:t>
      </w:r>
      <w:r>
        <w:rPr>
          <w:rFonts w:hint="eastAsia" w:ascii="宋体" w:hAnsi="宋体" w:cs="宋体"/>
          <w:kern w:val="0"/>
          <w:szCs w:val="21"/>
        </w:rPr>
        <w:t>卫健</w:t>
      </w:r>
      <w:r>
        <w:rPr>
          <w:rFonts w:hint="eastAsia" w:ascii="宋体" w:hAnsi="宋体" w:cs="宋体"/>
          <w:kern w:val="0"/>
          <w:szCs w:val="21"/>
          <w:lang w:eastAsia="zh-CN"/>
        </w:rPr>
        <w:t>局</w:t>
      </w:r>
      <w:r>
        <w:rPr>
          <w:rFonts w:hint="eastAsia" w:ascii="宋体" w:hAnsi="宋体" w:cs="宋体"/>
          <w:kern w:val="0"/>
          <w:szCs w:val="21"/>
        </w:rPr>
        <w:t>、</w:t>
      </w:r>
      <w:r>
        <w:rPr>
          <w:rFonts w:hint="eastAsia" w:ascii="宋体" w:hAnsi="宋体" w:cs="宋体"/>
          <w:kern w:val="0"/>
          <w:szCs w:val="21"/>
          <w:lang w:eastAsia="zh-CN"/>
        </w:rPr>
        <w:t>县</w:t>
      </w:r>
      <w:r>
        <w:rPr>
          <w:rFonts w:hint="eastAsia" w:ascii="宋体" w:hAnsi="宋体" w:cs="宋体"/>
          <w:kern w:val="0"/>
          <w:szCs w:val="21"/>
        </w:rPr>
        <w:t>文旅局、</w:t>
      </w:r>
      <w:r>
        <w:rPr>
          <w:rFonts w:hint="eastAsia" w:ascii="宋体" w:hAnsi="宋体" w:cs="宋体"/>
          <w:kern w:val="0"/>
          <w:szCs w:val="21"/>
          <w:lang w:eastAsia="zh-CN"/>
        </w:rPr>
        <w:t>县</w:t>
      </w:r>
      <w:r>
        <w:rPr>
          <w:rFonts w:hint="eastAsia" w:ascii="宋体" w:hAnsi="宋体" w:cs="宋体"/>
          <w:kern w:val="0"/>
          <w:szCs w:val="21"/>
        </w:rPr>
        <w:t>住建局、</w:t>
      </w:r>
      <w:r>
        <w:rPr>
          <w:rFonts w:hint="eastAsia" w:ascii="宋体" w:hAnsi="宋体" w:cs="宋体"/>
          <w:kern w:val="0"/>
          <w:szCs w:val="21"/>
          <w:lang w:eastAsia="zh-CN"/>
        </w:rPr>
        <w:t>县</w:t>
      </w:r>
      <w:r>
        <w:rPr>
          <w:rFonts w:hint="eastAsia" w:ascii="宋体" w:hAnsi="宋体" w:cs="宋体"/>
          <w:kern w:val="0"/>
          <w:szCs w:val="21"/>
        </w:rPr>
        <w:t>市场监管局、</w:t>
      </w:r>
      <w:r>
        <w:rPr>
          <w:rFonts w:hint="eastAsia" w:ascii="宋体" w:hAnsi="宋体" w:cs="宋体"/>
          <w:kern w:val="0"/>
          <w:szCs w:val="21"/>
          <w:lang w:eastAsia="zh-CN"/>
        </w:rPr>
        <w:t>市生态</w:t>
      </w:r>
      <w:r>
        <w:rPr>
          <w:rFonts w:hint="eastAsia" w:ascii="宋体" w:hAnsi="宋体" w:cs="宋体"/>
          <w:kern w:val="0"/>
          <w:szCs w:val="21"/>
        </w:rPr>
        <w:t>环境局</w:t>
      </w:r>
      <w:r>
        <w:rPr>
          <w:rFonts w:hint="eastAsia" w:ascii="宋体" w:hAnsi="宋体" w:cs="宋体"/>
          <w:kern w:val="0"/>
          <w:szCs w:val="21"/>
          <w:lang w:eastAsia="zh-CN"/>
        </w:rPr>
        <w:t>佛坪分局</w:t>
      </w:r>
      <w:r>
        <w:rPr>
          <w:rFonts w:hint="eastAsia" w:ascii="宋体" w:hAnsi="宋体" w:cs="宋体"/>
          <w:kern w:val="0"/>
          <w:szCs w:val="21"/>
        </w:rPr>
        <w:t>、</w:t>
      </w:r>
      <w:r>
        <w:rPr>
          <w:rFonts w:hint="eastAsia" w:ascii="宋体" w:hAnsi="宋体" w:cs="宋体"/>
          <w:kern w:val="0"/>
          <w:szCs w:val="21"/>
          <w:lang w:eastAsia="zh-CN"/>
        </w:rPr>
        <w:t>县</w:t>
      </w:r>
      <w:r>
        <w:rPr>
          <w:rFonts w:hint="eastAsia" w:ascii="宋体" w:hAnsi="宋体" w:cs="宋体"/>
          <w:kern w:val="0"/>
          <w:szCs w:val="21"/>
        </w:rPr>
        <w:t>自然资源局、</w:t>
      </w:r>
      <w:r>
        <w:rPr>
          <w:rFonts w:hint="eastAsia" w:ascii="宋体" w:hAnsi="宋体" w:cs="宋体"/>
          <w:kern w:val="0"/>
          <w:szCs w:val="21"/>
          <w:lang w:eastAsia="zh-CN"/>
        </w:rPr>
        <w:t>县</w:t>
      </w:r>
      <w:r>
        <w:rPr>
          <w:rFonts w:hint="eastAsia" w:ascii="宋体" w:hAnsi="宋体" w:cs="宋体"/>
          <w:kern w:val="0"/>
          <w:szCs w:val="21"/>
        </w:rPr>
        <w:t>应急管理局、</w:t>
      </w:r>
      <w:r>
        <w:rPr>
          <w:rFonts w:hint="eastAsia" w:ascii="宋体" w:hAnsi="宋体" w:cs="宋体"/>
          <w:kern w:val="0"/>
          <w:szCs w:val="21"/>
          <w:lang w:eastAsia="zh-CN"/>
        </w:rPr>
        <w:t>县教</w:t>
      </w:r>
      <w:r>
        <w:rPr>
          <w:rFonts w:hint="eastAsia" w:ascii="宋体" w:hAnsi="宋体" w:cs="宋体"/>
          <w:kern w:val="0"/>
          <w:szCs w:val="21"/>
        </w:rPr>
        <w:t>体局。</w:t>
      </w:r>
    </w:p>
    <w:p>
      <w:pPr>
        <w:tabs>
          <w:tab w:val="left" w:pos="85"/>
          <w:tab w:val="center" w:pos="7346"/>
        </w:tabs>
        <w:jc w:val="left"/>
        <w:rPr>
          <w:rFonts w:hint="eastAsia" w:ascii="宋体" w:hAnsi="宋体"/>
          <w:szCs w:val="21"/>
        </w:rPr>
      </w:pPr>
    </w:p>
    <w:p/>
    <w:sectPr>
      <w:footerReference r:id="rId3" w:type="default"/>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sz w:val="28"/>
      </w:rPr>
      <w:t>-</w:t>
    </w:r>
    <w:r>
      <w:rPr>
        <w:sz w:val="28"/>
      </w:rPr>
      <w:fldChar w:fldCharType="begin"/>
    </w:r>
    <w:r>
      <w:rPr>
        <w:sz w:val="28"/>
      </w:rPr>
      <w:instrText xml:space="preserve"> PAGE   \* MERGEFORMAT </w:instrText>
    </w:r>
    <w:r>
      <w:rPr>
        <w:sz w:val="28"/>
      </w:rPr>
      <w:fldChar w:fldCharType="separate"/>
    </w:r>
    <w:r>
      <w:rPr>
        <w:sz w:val="28"/>
        <w:lang w:val="zh-CN"/>
      </w:rPr>
      <w:t>36</w:t>
    </w:r>
    <w:r>
      <w:rPr>
        <w:sz w:val="28"/>
      </w:rPr>
      <w:fldChar w:fldCharType="end"/>
    </w:r>
    <w:r>
      <w:rPr>
        <w:rFonts w:hint="eastAsia"/>
        <w:sz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10E95"/>
    <w:rsid w:val="60D1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2019-11-27T06:19:00Z</dcterms:created>
  <dc:creator>K哥</dc:creator>
  <cp:lastModifiedBy>K哥</cp:lastModifiedBy>
  <dcterms:modified xsi:type="dcterms:W3CDTF">2019-11-27T06:19:41Z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