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74E0D">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napToGrid w:val="0"/>
          <w:color w:val="000000"/>
          <w:spacing w:val="0"/>
          <w:sz w:val="44"/>
          <w:szCs w:val="44"/>
        </w:rPr>
      </w:pPr>
    </w:p>
    <w:p w14:paraId="751E20F2">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napToGrid w:val="0"/>
          <w:color w:val="000000"/>
          <w:spacing w:val="0"/>
          <w:sz w:val="44"/>
          <w:szCs w:val="44"/>
        </w:rPr>
      </w:pPr>
    </w:p>
    <w:p w14:paraId="498CECDC">
      <w:pPr>
        <w:keepNext/>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snapToGrid w:val="0"/>
          <w:color w:val="000000"/>
          <w:spacing w:val="0"/>
          <w:sz w:val="44"/>
          <w:szCs w:val="44"/>
        </w:rPr>
      </w:pPr>
    </w:p>
    <w:p w14:paraId="67DA6F9C">
      <w:pPr>
        <w:keepNext/>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snapToGrid w:val="0"/>
          <w:color w:val="000000"/>
          <w:spacing w:val="0"/>
          <w:sz w:val="44"/>
          <w:szCs w:val="44"/>
        </w:rPr>
      </w:pPr>
    </w:p>
    <w:p w14:paraId="347AE9A3">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napToGrid w:val="0"/>
          <w:color w:val="000000"/>
          <w:spacing w:val="0"/>
          <w:sz w:val="32"/>
          <w:szCs w:val="32"/>
        </w:rPr>
      </w:pPr>
      <w:r>
        <w:rPr>
          <w:rFonts w:hint="eastAsia" w:ascii="仿宋_GB2312" w:eastAsia="仿宋_GB2312"/>
          <w:color w:val="000000"/>
          <w:sz w:val="32"/>
          <w:szCs w:val="32"/>
        </w:rPr>
        <w:t>佛</w:t>
      </w:r>
      <w:r>
        <w:rPr>
          <w:rFonts w:hint="eastAsia" w:ascii="仿宋_GB2312" w:eastAsia="仿宋_GB2312"/>
          <w:color w:val="000000"/>
          <w:sz w:val="32"/>
          <w:szCs w:val="32"/>
          <w:lang w:val="en-US" w:eastAsia="zh-CN"/>
        </w:rPr>
        <w:t>数政函</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号</w:t>
      </w:r>
    </w:p>
    <w:p w14:paraId="6CB2FD9A">
      <w:pPr>
        <w:keepNext/>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eastAsia="方正小标宋简体"/>
          <w:spacing w:val="0"/>
          <w:sz w:val="44"/>
          <w:szCs w:val="44"/>
        </w:rPr>
      </w:pPr>
    </w:p>
    <w:p w14:paraId="01299E15">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napToGrid w:val="0"/>
          <w:color w:val="000000"/>
          <w:spacing w:val="0"/>
          <w:sz w:val="44"/>
          <w:szCs w:val="44"/>
          <w:lang w:val="en-US" w:eastAsia="zh-CN"/>
        </w:rPr>
      </w:pPr>
      <w:r>
        <w:rPr>
          <w:rFonts w:hint="eastAsia" w:ascii="方正小标宋简体" w:eastAsia="方正小标宋简体"/>
          <w:snapToGrid w:val="0"/>
          <w:color w:val="000000"/>
          <w:spacing w:val="0"/>
          <w:sz w:val="44"/>
          <w:szCs w:val="44"/>
        </w:rPr>
        <w:t>关于</w:t>
      </w:r>
      <w:r>
        <w:rPr>
          <w:rFonts w:hint="eastAsia" w:ascii="方正小标宋简体" w:eastAsia="方正小标宋简体"/>
          <w:snapToGrid w:val="0"/>
          <w:color w:val="000000"/>
          <w:spacing w:val="0"/>
          <w:sz w:val="44"/>
          <w:szCs w:val="44"/>
          <w:lang w:val="en-US" w:eastAsia="zh-CN"/>
        </w:rPr>
        <w:t>佛坪县山茱萸发酵(含脱醇)酒改建项目</w:t>
      </w:r>
    </w:p>
    <w:p w14:paraId="25D47E75">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pacing w:val="0"/>
          <w:sz w:val="44"/>
          <w:szCs w:val="44"/>
        </w:rPr>
      </w:pPr>
      <w:r>
        <w:rPr>
          <w:rFonts w:hint="eastAsia" w:ascii="方正小标宋简体" w:eastAsia="方正小标宋简体"/>
          <w:color w:val="000000"/>
          <w:spacing w:val="0"/>
          <w:sz w:val="44"/>
          <w:szCs w:val="44"/>
        </w:rPr>
        <w:t>环境影响报告表的批复</w:t>
      </w:r>
    </w:p>
    <w:p w14:paraId="46CC63E1">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pacing w:val="0"/>
          <w:sz w:val="32"/>
          <w:szCs w:val="32"/>
        </w:rPr>
      </w:pPr>
    </w:p>
    <w:p w14:paraId="4A7987C0">
      <w:pPr>
        <w:keepNext/>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_GB2312" w:eastAsia="仿宋_GB2312" w:cs="宋体"/>
          <w:spacing w:val="0"/>
          <w:kern w:val="0"/>
          <w:sz w:val="32"/>
          <w:szCs w:val="32"/>
          <w:u w:val="none"/>
        </w:rPr>
      </w:pPr>
      <w:r>
        <w:rPr>
          <w:rFonts w:hint="eastAsia" w:ascii="仿宋_GB2312" w:hAnsi="仿宋_GB2312" w:eastAsia="仿宋_GB2312" w:cs="仿宋_GB2312"/>
          <w:spacing w:val="0"/>
          <w:sz w:val="32"/>
          <w:szCs w:val="32"/>
          <w:lang w:val="en-US" w:eastAsia="zh-CN"/>
        </w:rPr>
        <w:t>陕西浓情秦泉酒业有限责任公司</w:t>
      </w:r>
      <w:r>
        <w:rPr>
          <w:rFonts w:hint="eastAsia" w:ascii="仿宋_GB2312" w:hAnsi="宋体" w:eastAsia="仿宋_GB2312"/>
          <w:color w:val="000000"/>
          <w:spacing w:val="0"/>
          <w:sz w:val="32"/>
          <w:szCs w:val="32"/>
        </w:rPr>
        <w:t>：</w:t>
      </w:r>
      <w:r>
        <w:rPr>
          <w:rFonts w:hint="eastAsia" w:ascii="仿宋_GB2312" w:eastAsia="仿宋_GB2312"/>
          <w:spacing w:val="0"/>
          <w:sz w:val="32"/>
          <w:szCs w:val="32"/>
          <w:u w:val="none"/>
          <w:lang w:val="en-US" w:eastAsia="zh-CN"/>
        </w:rPr>
        <w:t>：</w:t>
      </w:r>
    </w:p>
    <w:p w14:paraId="0AFFF534">
      <w:pPr>
        <w:keepNext/>
        <w:keepLines w:val="0"/>
        <w:pageBreakBefore w:val="0"/>
        <w:widowControl w:val="0"/>
        <w:kinsoku/>
        <w:wordWrap/>
        <w:overflowPunct/>
        <w:topLinePunct w:val="0"/>
        <w:autoSpaceDE/>
        <w:autoSpaceDN/>
        <w:bidi w:val="0"/>
        <w:adjustRightInd/>
        <w:snapToGrid/>
        <w:spacing w:line="540" w:lineRule="exact"/>
        <w:ind w:left="0" w:leftChars="0" w:right="0" w:rightChars="0" w:firstLine="645"/>
        <w:jc w:val="both"/>
        <w:textAlignment w:val="auto"/>
        <w:outlineLvl w:val="9"/>
        <w:rPr>
          <w:rFonts w:hint="eastAsia" w:ascii="仿宋_GB2312" w:eastAsia="仿宋_GB2312" w:cs="宋体"/>
          <w:color w:val="000000"/>
          <w:spacing w:val="0"/>
          <w:kern w:val="0"/>
          <w:sz w:val="32"/>
          <w:szCs w:val="32"/>
        </w:rPr>
      </w:pPr>
      <w:r>
        <w:rPr>
          <w:rFonts w:hint="eastAsia" w:ascii="仿宋_GB2312" w:eastAsia="仿宋_GB2312"/>
          <w:color w:val="000000"/>
          <w:spacing w:val="0"/>
          <w:sz w:val="32"/>
          <w:szCs w:val="32"/>
        </w:rPr>
        <w:t>你</w:t>
      </w:r>
      <w:r>
        <w:rPr>
          <w:rFonts w:hint="eastAsia" w:ascii="仿宋_GB2312" w:eastAsia="仿宋_GB2312"/>
          <w:color w:val="000000"/>
          <w:spacing w:val="0"/>
          <w:sz w:val="32"/>
          <w:szCs w:val="32"/>
          <w:lang w:eastAsia="zh-CN"/>
        </w:rPr>
        <w:t>公司</w:t>
      </w:r>
      <w:r>
        <w:rPr>
          <w:rFonts w:hint="eastAsia" w:ascii="仿宋_GB2312" w:eastAsia="仿宋_GB2312"/>
          <w:color w:val="000000"/>
          <w:spacing w:val="0"/>
          <w:sz w:val="32"/>
          <w:szCs w:val="32"/>
        </w:rPr>
        <w:t>报来的《</w:t>
      </w:r>
      <w:r>
        <w:rPr>
          <w:rFonts w:hint="eastAsia" w:ascii="仿宋_GB2312" w:eastAsia="仿宋_GB2312"/>
          <w:color w:val="000000"/>
          <w:spacing w:val="0"/>
          <w:sz w:val="32"/>
          <w:szCs w:val="32"/>
          <w:lang w:eastAsia="zh-CN"/>
        </w:rPr>
        <w:t>佛坪县山茱萸发酵（含脱醇）酒改建项目</w:t>
      </w:r>
      <w:r>
        <w:rPr>
          <w:rFonts w:hint="eastAsia" w:ascii="仿宋_GB2312" w:eastAsia="仿宋_GB2312"/>
          <w:color w:val="000000"/>
          <w:spacing w:val="0"/>
          <w:sz w:val="32"/>
          <w:szCs w:val="32"/>
        </w:rPr>
        <w:t>环境影响报告表》收悉</w:t>
      </w:r>
      <w:r>
        <w:rPr>
          <w:rFonts w:hint="eastAsia" w:ascii="仿宋_GB2312" w:eastAsia="仿宋_GB2312" w:cs="宋体"/>
          <w:color w:val="000000"/>
          <w:spacing w:val="0"/>
          <w:kern w:val="0"/>
          <w:sz w:val="32"/>
          <w:szCs w:val="32"/>
        </w:rPr>
        <w:t>（以下简称《报告表》）</w:t>
      </w:r>
      <w:r>
        <w:rPr>
          <w:rFonts w:hint="eastAsia" w:ascii="仿宋_GB2312" w:eastAsia="仿宋_GB2312" w:cs="宋体"/>
          <w:color w:val="000000"/>
          <w:spacing w:val="0"/>
          <w:kern w:val="0"/>
          <w:sz w:val="32"/>
          <w:szCs w:val="32"/>
          <w:lang w:eastAsia="zh-CN"/>
        </w:rPr>
        <w:t>。</w:t>
      </w:r>
      <w:r>
        <w:rPr>
          <w:rFonts w:hint="eastAsia" w:ascii="仿宋_GB2312" w:eastAsia="仿宋_GB2312" w:cs="宋体"/>
          <w:color w:val="000000"/>
          <w:spacing w:val="0"/>
          <w:kern w:val="0"/>
          <w:sz w:val="32"/>
          <w:szCs w:val="32"/>
        </w:rPr>
        <w:t>经研究，</w:t>
      </w:r>
      <w:r>
        <w:rPr>
          <w:rFonts w:hint="eastAsia" w:ascii="仿宋_GB2312" w:eastAsia="仿宋_GB2312" w:cs="宋体"/>
          <w:color w:val="000000"/>
          <w:spacing w:val="0"/>
          <w:kern w:val="0"/>
          <w:sz w:val="32"/>
          <w:szCs w:val="32"/>
          <w:lang w:eastAsia="zh-CN"/>
        </w:rPr>
        <w:t>审查意见</w:t>
      </w:r>
      <w:r>
        <w:rPr>
          <w:rFonts w:hint="eastAsia" w:ascii="仿宋_GB2312" w:eastAsia="仿宋_GB2312" w:cs="宋体"/>
          <w:color w:val="000000"/>
          <w:spacing w:val="0"/>
          <w:kern w:val="0"/>
          <w:sz w:val="32"/>
          <w:szCs w:val="32"/>
        </w:rPr>
        <w:t>如下：</w:t>
      </w:r>
    </w:p>
    <w:p w14:paraId="5C5CE2A8">
      <w:pPr>
        <w:keepNext/>
        <w:keepLines w:val="0"/>
        <w:pageBreakBefore w:val="0"/>
        <w:widowControl w:val="0"/>
        <w:kinsoku/>
        <w:wordWrap/>
        <w:overflowPunct/>
        <w:topLinePunct w:val="0"/>
        <w:autoSpaceDE/>
        <w:autoSpaceDN/>
        <w:bidi w:val="0"/>
        <w:adjustRightInd/>
        <w:snapToGrid/>
        <w:spacing w:line="540" w:lineRule="exact"/>
        <w:ind w:left="0" w:leftChars="0" w:right="0" w:rightChars="0" w:firstLine="645"/>
        <w:jc w:val="both"/>
        <w:textAlignment w:val="auto"/>
        <w:outlineLvl w:val="9"/>
        <w:rPr>
          <w:rFonts w:hint="eastAsia" w:ascii="黑体" w:hAnsi="黑体" w:eastAsia="黑体"/>
          <w:color w:val="000000"/>
          <w:spacing w:val="0"/>
          <w:sz w:val="32"/>
          <w:szCs w:val="32"/>
        </w:rPr>
      </w:pPr>
      <w:r>
        <w:rPr>
          <w:rFonts w:hint="eastAsia" w:ascii="黑体" w:hAnsi="黑体" w:eastAsia="黑体"/>
          <w:color w:val="000000"/>
          <w:spacing w:val="0"/>
          <w:sz w:val="32"/>
          <w:szCs w:val="32"/>
        </w:rPr>
        <w:t>一、项目基本情况及批复意见</w:t>
      </w:r>
    </w:p>
    <w:p w14:paraId="05B32943">
      <w:pPr>
        <w:keepNext/>
        <w:keepLines w:val="0"/>
        <w:pageBreakBefore w:val="0"/>
        <w:widowControl w:val="0"/>
        <w:kinsoku/>
        <w:wordWrap/>
        <w:overflowPunct/>
        <w:topLinePunct w:val="0"/>
        <w:autoSpaceDE/>
        <w:autoSpaceDN/>
        <w:bidi w:val="0"/>
        <w:adjustRightInd/>
        <w:snapToGrid/>
        <w:spacing w:line="540" w:lineRule="exact"/>
        <w:ind w:left="0" w:leftChars="0" w:right="0" w:rightChars="0" w:firstLine="645"/>
        <w:jc w:val="both"/>
        <w:textAlignment w:val="auto"/>
        <w:outlineLvl w:val="9"/>
        <w:rPr>
          <w:rFonts w:hint="eastAsia" w:ascii="仿宋_GB2312" w:eastAsia="仿宋_GB2312" w:cs="宋体"/>
          <w:color w:val="000000"/>
          <w:spacing w:val="0"/>
          <w:kern w:val="0"/>
          <w:sz w:val="32"/>
          <w:szCs w:val="32"/>
          <w:highlight w:val="none"/>
        </w:rPr>
      </w:pPr>
      <w:r>
        <w:rPr>
          <w:rFonts w:hint="eastAsia" w:ascii="仿宋_GB2312" w:eastAsia="仿宋_GB2312"/>
          <w:color w:val="000000"/>
          <w:spacing w:val="0"/>
          <w:sz w:val="32"/>
          <w:szCs w:val="32"/>
          <w:highlight w:val="none"/>
          <w:lang w:eastAsia="zh-CN"/>
        </w:rPr>
        <w:t>该项目位于佛坪县袁家庄街道塘湾村，租赁佛坪县秦泉饮料食品有限责任公司现有厂区及办公用房，建设年产</w:t>
      </w:r>
      <w:r>
        <w:rPr>
          <w:rFonts w:hint="eastAsia" w:ascii="仿宋_GB2312" w:eastAsia="仿宋_GB2312"/>
          <w:color w:val="000000"/>
          <w:spacing w:val="0"/>
          <w:sz w:val="32"/>
          <w:szCs w:val="32"/>
          <w:highlight w:val="none"/>
          <w:lang w:val="en-US" w:eastAsia="zh-CN"/>
        </w:rPr>
        <w:t>200吨</w:t>
      </w:r>
      <w:r>
        <w:rPr>
          <w:rFonts w:hint="eastAsia" w:ascii="仿宋_GB2312" w:eastAsia="仿宋_GB2312"/>
          <w:color w:val="000000"/>
          <w:spacing w:val="0"/>
          <w:sz w:val="32"/>
          <w:szCs w:val="32"/>
          <w:lang w:eastAsia="zh-CN"/>
        </w:rPr>
        <w:t>山茱萸发酵（含脱醇）酒</w:t>
      </w:r>
      <w:r>
        <w:rPr>
          <w:rFonts w:hint="eastAsia" w:ascii="仿宋_GB2312" w:eastAsia="仿宋_GB2312"/>
          <w:color w:val="000000"/>
          <w:spacing w:val="0"/>
          <w:sz w:val="32"/>
          <w:szCs w:val="32"/>
          <w:highlight w:val="none"/>
          <w:lang w:eastAsia="zh-CN"/>
        </w:rPr>
        <w:t>生产线，主要产品有山茱萸发酵酒、山茱萸脱醇酒和脱醇冷凝粗酒精液。项目主体工程为设置生产车间、灌装车间、灭菌间；辅助工程为设置化验室、水处理间、快递间、成品库</w:t>
      </w:r>
      <w:r>
        <w:rPr>
          <w:rFonts w:hint="eastAsia" w:ascii="仿宋_GB2312" w:eastAsia="仿宋_GB2312"/>
          <w:color w:val="000000"/>
          <w:spacing w:val="0"/>
          <w:sz w:val="32"/>
          <w:szCs w:val="32"/>
          <w:highlight w:val="none"/>
          <w:lang w:val="en-US" w:eastAsia="zh-CN"/>
        </w:rPr>
        <w:t>、办公区及值班室；</w:t>
      </w:r>
      <w:r>
        <w:rPr>
          <w:rFonts w:hint="eastAsia" w:ascii="仿宋_GB2312" w:eastAsia="仿宋_GB2312"/>
          <w:color w:val="000000"/>
          <w:spacing w:val="0"/>
          <w:sz w:val="32"/>
          <w:szCs w:val="32"/>
          <w:highlight w:val="none"/>
          <w:lang w:eastAsia="zh-CN"/>
        </w:rPr>
        <w:t>公用工程包括给水、排水、供电等。环保工程包括处理废气、废水、固废、噪声等。项目总投资980万元，其中环保投资50万元，占比5.10%。</w:t>
      </w:r>
    </w:p>
    <w:p w14:paraId="624FEA70">
      <w:pPr>
        <w:keepNext/>
        <w:keepLines w:val="0"/>
        <w:pageBreakBefore w:val="0"/>
        <w:widowControl w:val="0"/>
        <w:kinsoku/>
        <w:wordWrap/>
        <w:overflowPunct/>
        <w:topLinePunct w:val="0"/>
        <w:autoSpaceDE/>
        <w:autoSpaceDN/>
        <w:bidi w:val="0"/>
        <w:adjustRightInd/>
        <w:snapToGrid/>
        <w:spacing w:line="540" w:lineRule="exact"/>
        <w:ind w:left="0" w:leftChars="0" w:right="0" w:rightChars="0" w:firstLine="645"/>
        <w:jc w:val="both"/>
        <w:textAlignment w:val="auto"/>
        <w:outlineLvl w:val="9"/>
        <w:rPr>
          <w:rFonts w:hint="eastAsia" w:ascii="仿宋_GB2312" w:eastAsia="仿宋_GB2312" w:cs="宋体"/>
          <w:spacing w:val="0"/>
          <w:kern w:val="0"/>
          <w:sz w:val="32"/>
          <w:szCs w:val="32"/>
          <w:highlight w:val="yellow"/>
        </w:rPr>
      </w:pPr>
      <w:r>
        <w:rPr>
          <w:rFonts w:hint="eastAsia" w:ascii="仿宋_GB2312" w:eastAsia="仿宋_GB2312" w:cs="宋体"/>
          <w:spacing w:val="0"/>
          <w:kern w:val="0"/>
          <w:sz w:val="32"/>
          <w:szCs w:val="32"/>
          <w:highlight w:val="none"/>
        </w:rPr>
        <w:t>经审查，</w:t>
      </w:r>
      <w:r>
        <w:rPr>
          <w:rFonts w:hint="eastAsia" w:ascii="仿宋_GB2312" w:eastAsia="仿宋_GB2312" w:cs="宋体"/>
          <w:spacing w:val="0"/>
          <w:kern w:val="0"/>
          <w:sz w:val="32"/>
          <w:szCs w:val="32"/>
          <w:highlight w:val="none"/>
          <w:lang w:eastAsia="zh-CN"/>
        </w:rPr>
        <w:t>该项目</w:t>
      </w:r>
      <w:r>
        <w:rPr>
          <w:rFonts w:hint="eastAsia" w:ascii="仿宋_GB2312" w:eastAsia="仿宋_GB2312" w:cs="宋体"/>
          <w:spacing w:val="0"/>
          <w:kern w:val="0"/>
          <w:sz w:val="32"/>
          <w:szCs w:val="32"/>
          <w:highlight w:val="none"/>
        </w:rPr>
        <w:t>在全面落实《</w:t>
      </w:r>
      <w:r>
        <w:rPr>
          <w:rFonts w:hint="eastAsia" w:ascii="仿宋_GB2312" w:eastAsia="仿宋_GB2312" w:cs="宋体"/>
          <w:spacing w:val="0"/>
          <w:kern w:val="0"/>
          <w:sz w:val="32"/>
          <w:szCs w:val="32"/>
          <w:highlight w:val="none"/>
          <w:lang w:eastAsia="zh-CN"/>
        </w:rPr>
        <w:t>报告表</w:t>
      </w:r>
      <w:r>
        <w:rPr>
          <w:rFonts w:hint="eastAsia" w:ascii="仿宋_GB2312" w:eastAsia="仿宋_GB2312" w:cs="宋体"/>
          <w:spacing w:val="0"/>
          <w:kern w:val="0"/>
          <w:sz w:val="32"/>
          <w:szCs w:val="32"/>
          <w:highlight w:val="none"/>
        </w:rPr>
        <w:t>》及本批复中提出的各</w:t>
      </w:r>
      <w:r>
        <w:rPr>
          <w:rFonts w:hint="eastAsia" w:ascii="仿宋_GB2312" w:eastAsia="仿宋_GB2312" w:cs="宋体"/>
          <w:spacing w:val="0"/>
          <w:kern w:val="0"/>
          <w:sz w:val="32"/>
          <w:szCs w:val="32"/>
          <w:highlight w:val="none"/>
          <w:lang w:eastAsia="zh-CN"/>
        </w:rPr>
        <w:t>项</w:t>
      </w:r>
      <w:r>
        <w:rPr>
          <w:rFonts w:hint="eastAsia" w:ascii="仿宋_GB2312" w:eastAsia="仿宋_GB2312" w:cs="宋体"/>
          <w:spacing w:val="0"/>
          <w:kern w:val="0"/>
          <w:sz w:val="32"/>
          <w:szCs w:val="32"/>
          <w:highlight w:val="none"/>
        </w:rPr>
        <w:t>污染防治措施</w:t>
      </w:r>
      <w:r>
        <w:rPr>
          <w:rFonts w:hint="eastAsia" w:ascii="仿宋_GB2312" w:eastAsia="仿宋_GB2312" w:cs="宋体"/>
          <w:spacing w:val="0"/>
          <w:kern w:val="0"/>
          <w:sz w:val="32"/>
          <w:szCs w:val="32"/>
          <w:highlight w:val="none"/>
          <w:lang w:eastAsia="zh-CN"/>
        </w:rPr>
        <w:t>和环境风险防范措施</w:t>
      </w:r>
      <w:r>
        <w:rPr>
          <w:rFonts w:hint="eastAsia" w:ascii="仿宋_GB2312" w:eastAsia="仿宋_GB2312" w:cs="宋体"/>
          <w:spacing w:val="0"/>
          <w:kern w:val="0"/>
          <w:sz w:val="32"/>
          <w:szCs w:val="32"/>
          <w:highlight w:val="none"/>
        </w:rPr>
        <w:t>的前提下，从环境保护角度分析，同意按照《</w:t>
      </w:r>
      <w:r>
        <w:rPr>
          <w:rFonts w:hint="eastAsia" w:ascii="仿宋_GB2312" w:eastAsia="仿宋_GB2312" w:cs="宋体"/>
          <w:spacing w:val="0"/>
          <w:kern w:val="0"/>
          <w:sz w:val="32"/>
          <w:szCs w:val="32"/>
          <w:highlight w:val="none"/>
          <w:lang w:eastAsia="zh-CN"/>
        </w:rPr>
        <w:t>报告表</w:t>
      </w:r>
      <w:r>
        <w:rPr>
          <w:rFonts w:hint="eastAsia" w:ascii="仿宋_GB2312" w:eastAsia="仿宋_GB2312" w:cs="宋体"/>
          <w:spacing w:val="0"/>
          <w:kern w:val="0"/>
          <w:sz w:val="32"/>
          <w:szCs w:val="32"/>
          <w:highlight w:val="none"/>
        </w:rPr>
        <w:t>》</w:t>
      </w:r>
      <w:r>
        <w:rPr>
          <w:rFonts w:hint="eastAsia" w:ascii="仿宋_GB2312" w:eastAsia="仿宋_GB2312" w:cs="宋体"/>
          <w:spacing w:val="0"/>
          <w:kern w:val="0"/>
          <w:sz w:val="32"/>
          <w:szCs w:val="32"/>
          <w:highlight w:val="none"/>
          <w:lang w:eastAsia="zh-CN"/>
        </w:rPr>
        <w:t>确定的</w:t>
      </w:r>
      <w:r>
        <w:rPr>
          <w:rFonts w:hint="eastAsia" w:ascii="仿宋_GB2312" w:eastAsia="仿宋_GB2312" w:cs="宋体"/>
          <w:spacing w:val="0"/>
          <w:kern w:val="0"/>
          <w:sz w:val="32"/>
          <w:szCs w:val="32"/>
          <w:highlight w:val="none"/>
        </w:rPr>
        <w:t>项目规模、地点、</w:t>
      </w:r>
      <w:r>
        <w:rPr>
          <w:rFonts w:hint="eastAsia" w:ascii="仿宋_GB2312" w:eastAsia="仿宋_GB2312" w:cs="宋体"/>
          <w:spacing w:val="0"/>
          <w:kern w:val="0"/>
          <w:sz w:val="32"/>
          <w:szCs w:val="32"/>
          <w:highlight w:val="none"/>
          <w:lang w:eastAsia="zh-CN"/>
        </w:rPr>
        <w:t>内容</w:t>
      </w:r>
      <w:r>
        <w:rPr>
          <w:rFonts w:hint="eastAsia" w:ascii="仿宋_GB2312" w:eastAsia="仿宋_GB2312" w:cs="宋体"/>
          <w:spacing w:val="0"/>
          <w:kern w:val="0"/>
          <w:sz w:val="32"/>
          <w:szCs w:val="32"/>
          <w:highlight w:val="none"/>
        </w:rPr>
        <w:t>和环境保护对策措施进行建设。</w:t>
      </w:r>
    </w:p>
    <w:p w14:paraId="4FDAE80D">
      <w:pPr>
        <w:keepNext/>
        <w:keepLines w:val="0"/>
        <w:pageBreakBefore w:val="0"/>
        <w:widowControl w:val="0"/>
        <w:kinsoku/>
        <w:wordWrap/>
        <w:overflowPunct/>
        <w:topLinePunct w:val="0"/>
        <w:autoSpaceDE/>
        <w:autoSpaceDN/>
        <w:bidi w:val="0"/>
        <w:adjustRightInd/>
        <w:snapToGrid/>
        <w:spacing w:line="540" w:lineRule="exact"/>
        <w:ind w:left="0" w:leftChars="0" w:right="0" w:rightChars="0" w:firstLine="645"/>
        <w:jc w:val="both"/>
        <w:textAlignment w:val="auto"/>
        <w:outlineLvl w:val="9"/>
        <w:rPr>
          <w:rFonts w:hint="eastAsia" w:ascii="黑体" w:hAnsi="黑体" w:eastAsia="黑体"/>
          <w:spacing w:val="0"/>
          <w:sz w:val="32"/>
          <w:szCs w:val="32"/>
        </w:rPr>
      </w:pPr>
      <w:r>
        <w:rPr>
          <w:rFonts w:hint="eastAsia" w:ascii="黑体" w:hAnsi="黑体" w:eastAsia="黑体"/>
          <w:spacing w:val="0"/>
          <w:sz w:val="32"/>
          <w:szCs w:val="32"/>
          <w:lang w:eastAsia="zh-CN"/>
        </w:rPr>
        <w:t>二、项目建设及运营过程中应</w:t>
      </w:r>
      <w:r>
        <w:rPr>
          <w:rFonts w:hint="eastAsia" w:ascii="黑体" w:hAnsi="黑体" w:eastAsia="黑体"/>
          <w:spacing w:val="0"/>
          <w:sz w:val="32"/>
          <w:szCs w:val="32"/>
        </w:rPr>
        <w:t>重点做好以下工作</w:t>
      </w:r>
    </w:p>
    <w:p w14:paraId="06841E1F">
      <w:pPr>
        <w:keepNext/>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 w:eastAsia="仿宋_GB2312"/>
          <w:color w:val="auto"/>
          <w:spacing w:val="0"/>
          <w:sz w:val="32"/>
          <w:szCs w:val="32"/>
          <w:highlight w:val="yellow"/>
        </w:rPr>
      </w:pPr>
      <w:r>
        <w:rPr>
          <w:rFonts w:hint="eastAsia" w:ascii="仿宋_GB2312" w:eastAsia="仿宋_GB2312"/>
          <w:spacing w:val="0"/>
          <w:sz w:val="32"/>
          <w:szCs w:val="32"/>
          <w:highlight w:val="none"/>
          <w:lang w:val="en-US" w:eastAsia="zh-CN"/>
        </w:rPr>
        <w:t>1.按规定</w:t>
      </w:r>
      <w:r>
        <w:rPr>
          <w:rFonts w:hint="eastAsia" w:ascii="仿宋_GB2312" w:hAnsi="仿宋" w:eastAsia="仿宋_GB2312"/>
          <w:spacing w:val="0"/>
          <w:sz w:val="32"/>
          <w:szCs w:val="32"/>
          <w:highlight w:val="none"/>
        </w:rPr>
        <w:t>执行</w:t>
      </w:r>
      <w:r>
        <w:rPr>
          <w:rFonts w:hint="eastAsia" w:ascii="仿宋_GB2312" w:hAnsi="仿宋" w:eastAsia="仿宋_GB2312"/>
          <w:color w:val="000000"/>
          <w:spacing w:val="0"/>
          <w:sz w:val="32"/>
          <w:szCs w:val="32"/>
          <w:highlight w:val="none"/>
        </w:rPr>
        <w:t>环境质量执行标准</w:t>
      </w:r>
      <w:r>
        <w:rPr>
          <w:rFonts w:hint="eastAsia" w:ascii="仿宋_GB2312" w:hAnsi="仿宋" w:eastAsia="仿宋_GB2312"/>
          <w:color w:val="000000"/>
          <w:spacing w:val="0"/>
          <w:sz w:val="32"/>
          <w:szCs w:val="32"/>
          <w:highlight w:val="none"/>
          <w:lang w:eastAsia="zh-CN"/>
        </w:rPr>
        <w:t>和</w:t>
      </w:r>
      <w:r>
        <w:rPr>
          <w:rFonts w:hint="eastAsia" w:ascii="仿宋_GB2312" w:hAnsi="仿宋" w:eastAsia="仿宋_GB2312"/>
          <w:color w:val="000000"/>
          <w:spacing w:val="0"/>
          <w:sz w:val="32"/>
          <w:szCs w:val="32"/>
          <w:highlight w:val="none"/>
        </w:rPr>
        <w:t>污染物排放标准</w:t>
      </w:r>
      <w:r>
        <w:rPr>
          <w:rFonts w:hint="eastAsia" w:ascii="仿宋_GB2312" w:hAnsi="仿宋" w:eastAsia="仿宋_GB2312"/>
          <w:color w:val="auto"/>
          <w:spacing w:val="0"/>
          <w:sz w:val="32"/>
          <w:szCs w:val="32"/>
          <w:highlight w:val="none"/>
        </w:rPr>
        <w:t>。</w:t>
      </w:r>
    </w:p>
    <w:p w14:paraId="05110B8A">
      <w:pPr>
        <w:pStyle w:val="8"/>
        <w:keepNext/>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_GB2312" w:hAnsi="仿宋" w:eastAsia="仿宋_GB2312"/>
          <w:color w:val="auto"/>
          <w:sz w:val="32"/>
          <w:szCs w:val="32"/>
          <w:highlight w:val="none"/>
        </w:rPr>
      </w:pPr>
      <w:r>
        <w:rPr>
          <w:rFonts w:hint="eastAsia" w:ascii="仿宋_GB2312" w:hAnsi="仿宋" w:eastAsia="仿宋_GB2312"/>
          <w:color w:val="000000" w:themeColor="text1"/>
          <w:sz w:val="32"/>
          <w:szCs w:val="32"/>
          <w:highlight w:val="none"/>
          <w:lang w:val="en-US" w:eastAsia="zh-CN"/>
          <w14:textFill>
            <w14:solidFill>
              <w14:schemeClr w14:val="tx1"/>
            </w14:solidFill>
          </w14:textFill>
        </w:rPr>
        <w:t>2.严格</w:t>
      </w:r>
      <w:r>
        <w:rPr>
          <w:rFonts w:hint="eastAsia" w:ascii="仿宋_GB2312" w:hAnsi="仿宋" w:eastAsia="仿宋_GB2312"/>
          <w:color w:val="auto"/>
          <w:sz w:val="32"/>
          <w:szCs w:val="32"/>
          <w:highlight w:val="none"/>
        </w:rPr>
        <w:t>落实《报告表》提出的</w:t>
      </w:r>
      <w:r>
        <w:rPr>
          <w:rFonts w:hint="eastAsia" w:ascii="仿宋_GB2312" w:hAnsi="仿宋" w:eastAsia="仿宋_GB2312"/>
          <w:color w:val="auto"/>
          <w:sz w:val="32"/>
          <w:szCs w:val="32"/>
          <w:highlight w:val="none"/>
          <w:lang w:eastAsia="zh-CN"/>
        </w:rPr>
        <w:t>各项污染防治和</w:t>
      </w:r>
      <w:r>
        <w:rPr>
          <w:rFonts w:hint="eastAsia" w:ascii="仿宋_GB2312" w:hAnsi="仿宋" w:eastAsia="仿宋_GB2312"/>
          <w:color w:val="auto"/>
          <w:sz w:val="32"/>
          <w:szCs w:val="32"/>
          <w:highlight w:val="none"/>
        </w:rPr>
        <w:t>环境管理措施。</w:t>
      </w:r>
    </w:p>
    <w:p w14:paraId="10AC9F17">
      <w:pPr>
        <w:pStyle w:val="8"/>
        <w:keepNext/>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_GB2312" w:hAnsi="仿宋_GB2312" w:eastAsia="仿宋_GB2312" w:cs="仿宋_GB2312"/>
          <w:color w:val="000000" w:themeColor="text1"/>
          <w:spacing w:val="0"/>
          <w:sz w:val="32"/>
          <w:szCs w:val="32"/>
          <w:highlight w:val="yellow"/>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3.加强大气污染防治工作。项目运营期间，必须使用清洁能源。脱醇废气经设备自带内置冷凝回收装置处理后无组织排放，发酵废气和堆存废气经车间机械通风排出。过滤残渣、发酵变质品、腐烂果品等集中收集、日产日清，防止恶臭污染。</w:t>
      </w:r>
    </w:p>
    <w:p w14:paraId="725DE8B0">
      <w:pPr>
        <w:keepNext/>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 w:eastAsia="仿宋_GB2312"/>
          <w:spacing w:val="0"/>
          <w:sz w:val="32"/>
          <w:szCs w:val="32"/>
          <w:highlight w:val="yellow"/>
          <w:lang w:val="en-US" w:eastAsia="zh-CN"/>
        </w:rPr>
      </w:pPr>
      <w:r>
        <w:rPr>
          <w:rFonts w:hint="eastAsia" w:ascii="仿宋_GB2312" w:hAnsi="仿宋" w:eastAsia="仿宋_GB2312"/>
          <w:color w:val="auto"/>
          <w:spacing w:val="0"/>
          <w:sz w:val="32"/>
          <w:szCs w:val="32"/>
          <w:highlight w:val="none"/>
          <w:lang w:val="en-US" w:eastAsia="zh-CN"/>
        </w:rPr>
        <w:t>4.加强水污染防治工作。</w:t>
      </w:r>
      <w:r>
        <w:rPr>
          <w:rFonts w:hint="eastAsia" w:ascii="仿宋_GB2312" w:hAnsi="仿宋" w:eastAsia="仿宋_GB2312"/>
          <w:spacing w:val="0"/>
          <w:sz w:val="32"/>
          <w:szCs w:val="32"/>
          <w:highlight w:val="none"/>
          <w:lang w:val="en-US" w:eastAsia="zh-CN"/>
        </w:rPr>
        <w:t>禁止新建污水排放口。生活废水经处理后排入市政管网，施工废水集中收集处理后综合利用，不得外排。设备清洗废水、空瓶清洗废水、试验废水等生产废水集中收集，委托资质单位监测达到污水处理厂进水标准后用罐车运至佛坪县污水处理厂。项目污水收集管线、设施设备及转运过程要采取有效环境保护措施，严防跑、冒、滴、漏等现象。</w:t>
      </w:r>
    </w:p>
    <w:p w14:paraId="0CBD7FE8">
      <w:pPr>
        <w:pStyle w:val="8"/>
        <w:keepNext/>
        <w:keepLines w:val="0"/>
        <w:pageBreakBefore w:val="0"/>
        <w:widowControl w:val="0"/>
        <w:numPr>
          <w:ilvl w:val="0"/>
          <w:numId w:val="0"/>
        </w:numPr>
        <w:shd w:val="clea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仿宋_GB2312" w:hAnsi="仿宋_GB2312" w:eastAsia="仿宋_GB2312" w:cs="仿宋_GB2312"/>
          <w:color w:val="auto"/>
          <w:spacing w:val="0"/>
          <w:sz w:val="32"/>
          <w:szCs w:val="32"/>
          <w:highlight w:val="yellow"/>
          <w:lang w:val="en-US" w:eastAsia="zh-CN"/>
        </w:rPr>
      </w:pPr>
      <w:r>
        <w:rPr>
          <w:rFonts w:hint="eastAsia" w:ascii="仿宋_GB2312" w:hAnsi="仿宋_GB2312" w:eastAsia="仿宋_GB2312" w:cs="仿宋_GB2312"/>
          <w:color w:val="auto"/>
          <w:spacing w:val="0"/>
          <w:sz w:val="32"/>
          <w:szCs w:val="32"/>
          <w:highlight w:val="none"/>
          <w:lang w:val="en-US" w:eastAsia="zh-CN"/>
        </w:rPr>
        <w:t>5.加强噪声污染防治工作。选用低噪声设备和工艺，</w:t>
      </w:r>
      <w:r>
        <w:rPr>
          <w:rFonts w:hint="eastAsia" w:ascii="仿宋_GB2312" w:hAnsi="仿宋" w:eastAsia="仿宋_GB2312"/>
          <w:color w:val="auto"/>
          <w:spacing w:val="0"/>
          <w:sz w:val="32"/>
          <w:szCs w:val="32"/>
          <w:highlight w:val="none"/>
          <w:lang w:val="en-US" w:eastAsia="zh-CN"/>
        </w:rPr>
        <w:t>加强设备日常检修和维护</w:t>
      </w:r>
      <w:r>
        <w:rPr>
          <w:rFonts w:hint="eastAsia" w:ascii="仿宋_GB2312" w:hAnsi="仿宋_GB2312" w:eastAsia="仿宋_GB2312" w:cs="仿宋_GB2312"/>
          <w:color w:val="auto"/>
          <w:spacing w:val="0"/>
          <w:sz w:val="32"/>
          <w:szCs w:val="32"/>
          <w:highlight w:val="none"/>
          <w:lang w:val="en-US" w:eastAsia="zh-CN"/>
        </w:rPr>
        <w:t>。合理安排施工计划和施工时间，晚上十点至次日早晨六点之间，禁止开展因生产工艺要求或者特殊需要必须施工以外的其他作业。</w:t>
      </w:r>
      <w:r>
        <w:rPr>
          <w:rFonts w:hint="eastAsia" w:ascii="仿宋_GB2312" w:hAnsi="仿宋" w:eastAsia="仿宋_GB2312"/>
          <w:color w:val="auto"/>
          <w:spacing w:val="0"/>
          <w:sz w:val="32"/>
          <w:szCs w:val="32"/>
          <w:highlight w:val="none"/>
          <w:lang w:val="en-US" w:eastAsia="zh-CN"/>
        </w:rPr>
        <w:t>严格按照</w:t>
      </w:r>
      <w:r>
        <w:rPr>
          <w:rFonts w:hint="eastAsia" w:ascii="仿宋_GB2312" w:hAnsi="仿宋_GB2312" w:eastAsia="仿宋_GB2312" w:cs="宋体"/>
          <w:spacing w:val="0"/>
          <w:kern w:val="0"/>
          <w:sz w:val="32"/>
          <w:szCs w:val="32"/>
          <w:highlight w:val="none"/>
          <w:lang w:eastAsia="zh-CN"/>
        </w:rPr>
        <w:t>《中华人民共和国噪声污染防治法》有关规定</w:t>
      </w:r>
      <w:r>
        <w:rPr>
          <w:rFonts w:hint="eastAsia" w:ascii="仿宋_GB2312" w:hAnsi="仿宋" w:eastAsia="仿宋_GB2312"/>
          <w:color w:val="auto"/>
          <w:spacing w:val="0"/>
          <w:sz w:val="32"/>
          <w:szCs w:val="32"/>
          <w:highlight w:val="none"/>
          <w:lang w:val="en-US" w:eastAsia="zh-CN"/>
        </w:rPr>
        <w:t>执行。</w:t>
      </w:r>
    </w:p>
    <w:p w14:paraId="57191109">
      <w:pPr>
        <w:pStyle w:val="8"/>
        <w:keepNext/>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outlineLvl w:val="9"/>
        <w:rPr>
          <w:rFonts w:hint="eastAsia" w:ascii="仿宋_GB2312" w:hAnsi="仿宋" w:eastAsia="仿宋_GB2312"/>
          <w:color w:val="000000" w:themeColor="text1"/>
          <w:spacing w:val="0"/>
          <w:sz w:val="32"/>
          <w:szCs w:val="32"/>
          <w:highlight w:val="yellow"/>
          <w:lang w:val="en-US" w:eastAsia="zh-CN"/>
          <w14:textFill>
            <w14:solidFill>
              <w14:schemeClr w14:val="tx1"/>
            </w14:solidFill>
          </w14:textFill>
        </w:rPr>
      </w:pPr>
      <w:r>
        <w:rPr>
          <w:rFonts w:hint="eastAsia" w:ascii="仿宋_GB2312" w:hAnsi="仿宋_GB2312" w:eastAsia="仿宋_GB2312" w:cs="宋体"/>
          <w:spacing w:val="0"/>
          <w:kern w:val="0"/>
          <w:sz w:val="32"/>
          <w:szCs w:val="32"/>
          <w:highlight w:val="none"/>
          <w:lang w:val="en-US" w:eastAsia="zh-CN"/>
        </w:rPr>
        <w:t>6.</w:t>
      </w:r>
      <w:r>
        <w:rPr>
          <w:rFonts w:hint="eastAsia" w:ascii="仿宋_GB2312" w:hAnsi="仿宋_GB2312" w:eastAsia="仿宋_GB2312" w:cs="宋体"/>
          <w:spacing w:val="0"/>
          <w:kern w:val="0"/>
          <w:sz w:val="32"/>
          <w:szCs w:val="32"/>
          <w:highlight w:val="none"/>
        </w:rPr>
        <w:t>加强</w:t>
      </w:r>
      <w:r>
        <w:rPr>
          <w:rFonts w:hint="eastAsia" w:ascii="仿宋_GB2312" w:hAnsi="仿宋_GB2312" w:eastAsia="仿宋_GB2312" w:cs="宋体"/>
          <w:spacing w:val="0"/>
          <w:kern w:val="0"/>
          <w:sz w:val="32"/>
          <w:szCs w:val="32"/>
          <w:highlight w:val="none"/>
          <w:lang w:eastAsia="zh-CN"/>
        </w:rPr>
        <w:t>固（危）废综合</w:t>
      </w:r>
      <w:r>
        <w:rPr>
          <w:rFonts w:hint="eastAsia" w:ascii="仿宋_GB2312" w:hAnsi="仿宋_GB2312" w:eastAsia="仿宋_GB2312" w:cs="宋体"/>
          <w:spacing w:val="0"/>
          <w:kern w:val="0"/>
          <w:sz w:val="32"/>
          <w:szCs w:val="32"/>
          <w:highlight w:val="none"/>
        </w:rPr>
        <w:t>管理。</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项目建设及运营期间产生的</w:t>
      </w:r>
      <w:r>
        <w:rPr>
          <w:rFonts w:hint="eastAsia" w:ascii="仿宋_GB2312" w:hAnsi="仿宋_GB2312" w:eastAsia="仿宋_GB2312" w:cs="宋体"/>
          <w:spacing w:val="0"/>
          <w:kern w:val="0"/>
          <w:sz w:val="32"/>
          <w:szCs w:val="32"/>
          <w:highlight w:val="none"/>
        </w:rPr>
        <w:t>生活垃圾</w:t>
      </w:r>
      <w:r>
        <w:rPr>
          <w:rFonts w:hint="eastAsia" w:ascii="仿宋_GB2312" w:hAnsi="仿宋_GB2312" w:eastAsia="仿宋_GB2312" w:cs="宋体"/>
          <w:spacing w:val="0"/>
          <w:kern w:val="0"/>
          <w:sz w:val="32"/>
          <w:szCs w:val="32"/>
          <w:highlight w:val="none"/>
          <w:lang w:eastAsia="zh-CN"/>
        </w:rPr>
        <w:t>、生产废渣、废包装材料等一般固体废物应妥善处理，不得随意倾倒、焚烧。检验废液、废机油、废含油抹布等危险废物，及时交由资质单位安全处置。</w:t>
      </w:r>
      <w:r>
        <w:rPr>
          <w:rFonts w:hint="eastAsia" w:ascii="仿宋_GB2312" w:hAnsi="仿宋" w:eastAsia="仿宋_GB2312"/>
          <w:color w:val="auto"/>
          <w:spacing w:val="0"/>
          <w:sz w:val="32"/>
          <w:szCs w:val="32"/>
          <w:highlight w:val="none"/>
          <w:lang w:val="en-US" w:eastAsia="zh-CN"/>
        </w:rPr>
        <w:t>严格按照</w:t>
      </w:r>
      <w:r>
        <w:rPr>
          <w:rFonts w:hint="eastAsia" w:ascii="仿宋_GB2312" w:hAnsi="仿宋_GB2312" w:eastAsia="仿宋_GB2312" w:cs="宋体"/>
          <w:spacing w:val="0"/>
          <w:kern w:val="0"/>
          <w:sz w:val="32"/>
          <w:szCs w:val="32"/>
          <w:highlight w:val="none"/>
          <w:lang w:eastAsia="zh-CN"/>
        </w:rPr>
        <w:t>《中华人民共和国固体废物污染环境防治法》有关规定</w:t>
      </w:r>
      <w:r>
        <w:rPr>
          <w:rFonts w:hint="eastAsia" w:ascii="仿宋_GB2312" w:hAnsi="仿宋" w:eastAsia="仿宋_GB2312"/>
          <w:color w:val="auto"/>
          <w:spacing w:val="0"/>
          <w:sz w:val="32"/>
          <w:szCs w:val="32"/>
          <w:highlight w:val="none"/>
          <w:lang w:val="en-US" w:eastAsia="zh-CN"/>
        </w:rPr>
        <w:t>执行。</w:t>
      </w:r>
    </w:p>
    <w:p w14:paraId="7049A3BF">
      <w:pPr>
        <w:keepNext/>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eastAsia" w:ascii="仿宋_GB2312" w:hAnsi="仿宋" w:eastAsia="仿宋_GB2312"/>
          <w:color w:val="000000" w:themeColor="text1"/>
          <w:spacing w:val="0"/>
          <w:sz w:val="32"/>
          <w:szCs w:val="32"/>
          <w:highlight w:val="yellow"/>
          <w:lang w:eastAsia="zh-CN"/>
          <w14:textFill>
            <w14:solidFill>
              <w14:schemeClr w14:val="tx1"/>
            </w14:solidFill>
          </w14:textFill>
        </w:rPr>
      </w:pPr>
      <w:r>
        <w:rPr>
          <w:rFonts w:hint="eastAsia" w:ascii="仿宋_GB2312" w:hAnsi="仿宋" w:eastAsia="仿宋_GB2312"/>
          <w:color w:val="000000" w:themeColor="text1"/>
          <w:spacing w:val="0"/>
          <w:sz w:val="32"/>
          <w:szCs w:val="32"/>
          <w:highlight w:val="none"/>
          <w:lang w:val="en-US" w:eastAsia="zh-CN"/>
          <w14:textFill>
            <w14:solidFill>
              <w14:schemeClr w14:val="tx1"/>
            </w14:solidFill>
          </w14:textFill>
        </w:rPr>
        <w:t>7.</w:t>
      </w:r>
      <w:r>
        <w:rPr>
          <w:rFonts w:hint="eastAsia" w:ascii="仿宋_GB2312" w:hAnsi="仿宋" w:eastAsia="仿宋_GB2312"/>
          <w:color w:val="000000" w:themeColor="text1"/>
          <w:spacing w:val="0"/>
          <w:sz w:val="32"/>
          <w:szCs w:val="32"/>
          <w:highlight w:val="none"/>
          <w:lang w:eastAsia="zh-CN"/>
          <w14:textFill>
            <w14:solidFill>
              <w14:schemeClr w14:val="tx1"/>
            </w14:solidFill>
          </w14:textFill>
        </w:rPr>
        <w:t>其他事项按有关法律法规执行。</w:t>
      </w:r>
    </w:p>
    <w:p w14:paraId="67E70F72">
      <w:pPr>
        <w:keepNext/>
        <w:keepLines w:val="0"/>
        <w:pageBreakBefore w:val="0"/>
        <w:widowControl w:val="0"/>
        <w:kinsoku/>
        <w:wordWrap/>
        <w:overflowPunct/>
        <w:topLinePunct w:val="0"/>
        <w:autoSpaceDE/>
        <w:autoSpaceDN/>
        <w:bidi w:val="0"/>
        <w:adjustRightInd/>
        <w:snapToGrid/>
        <w:spacing w:line="540" w:lineRule="exact"/>
        <w:ind w:left="0" w:leftChars="0" w:right="0" w:rightChars="0" w:firstLine="646"/>
        <w:jc w:val="both"/>
        <w:textAlignment w:val="auto"/>
        <w:outlineLvl w:val="9"/>
        <w:rPr>
          <w:rFonts w:hint="eastAsia" w:ascii="黑体" w:hAnsi="黑体" w:eastAsia="黑体"/>
          <w:color w:val="000000"/>
          <w:spacing w:val="0"/>
          <w:sz w:val="32"/>
          <w:szCs w:val="32"/>
        </w:rPr>
      </w:pPr>
      <w:r>
        <w:rPr>
          <w:rFonts w:hint="eastAsia" w:ascii="黑体" w:hAnsi="黑体" w:eastAsia="黑体"/>
          <w:color w:val="000000"/>
          <w:spacing w:val="0"/>
          <w:sz w:val="32"/>
          <w:szCs w:val="32"/>
          <w:lang w:eastAsia="zh-CN"/>
        </w:rPr>
        <w:t>三</w:t>
      </w:r>
      <w:r>
        <w:rPr>
          <w:rFonts w:hint="eastAsia" w:ascii="黑体" w:hAnsi="黑体" w:eastAsia="黑体"/>
          <w:color w:val="000000"/>
          <w:spacing w:val="0"/>
          <w:sz w:val="32"/>
          <w:szCs w:val="32"/>
        </w:rPr>
        <w:t>、严格执行环境保护管理制度</w:t>
      </w:r>
    </w:p>
    <w:p w14:paraId="1C720480">
      <w:pPr>
        <w:pStyle w:val="8"/>
        <w:keepNext/>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eastAsia" w:ascii="仿宋_GB2312" w:hAnsi="仿宋" w:eastAsia="仿宋_GB2312"/>
          <w:color w:val="auto"/>
          <w:spacing w:val="0"/>
          <w:sz w:val="32"/>
          <w:szCs w:val="32"/>
          <w:highlight w:val="none"/>
          <w:lang w:eastAsia="zh-CN"/>
        </w:rPr>
      </w:pPr>
      <w:r>
        <w:rPr>
          <w:rFonts w:hint="eastAsia" w:ascii="仿宋_GB2312" w:hAnsi="仿宋_GB2312" w:eastAsia="仿宋_GB2312" w:cs="仿宋_GB2312"/>
          <w:color w:val="000000"/>
          <w:spacing w:val="0"/>
          <w:sz w:val="32"/>
          <w:szCs w:val="32"/>
          <w:highlight w:val="none"/>
          <w:lang w:val="en-US" w:eastAsia="zh-CN"/>
        </w:rPr>
        <w:t>1.建立</w:t>
      </w:r>
      <w:r>
        <w:rPr>
          <w:rFonts w:hint="eastAsia" w:ascii="仿宋_GB2312" w:hAnsi="仿宋" w:eastAsia="仿宋_GB2312"/>
          <w:color w:val="auto"/>
          <w:spacing w:val="0"/>
          <w:sz w:val="32"/>
          <w:szCs w:val="32"/>
          <w:highlight w:val="none"/>
          <w:lang w:val="en-US" w:eastAsia="zh-CN"/>
        </w:rPr>
        <w:t>健全环境管理制度，</w:t>
      </w:r>
      <w:r>
        <w:rPr>
          <w:rFonts w:hint="eastAsia" w:ascii="仿宋_GB2312" w:hAnsi="仿宋_GB2312" w:eastAsia="仿宋_GB2312" w:cs="宋体"/>
          <w:color w:val="000000"/>
          <w:spacing w:val="0"/>
          <w:kern w:val="0"/>
          <w:sz w:val="32"/>
          <w:szCs w:val="32"/>
          <w:highlight w:val="none"/>
          <w:lang w:val="en-US" w:eastAsia="zh-CN"/>
        </w:rPr>
        <w:t>定期检修维护设备，</w:t>
      </w:r>
      <w:r>
        <w:rPr>
          <w:rFonts w:hint="eastAsia" w:ascii="仿宋_GB2312" w:hAnsi="仿宋" w:eastAsia="仿宋_GB2312"/>
          <w:color w:val="auto"/>
          <w:spacing w:val="0"/>
          <w:sz w:val="32"/>
          <w:szCs w:val="32"/>
          <w:highlight w:val="none"/>
          <w:lang w:eastAsia="zh-CN"/>
        </w:rPr>
        <w:t>做好运行记录。</w:t>
      </w:r>
      <w:r>
        <w:rPr>
          <w:rFonts w:hint="eastAsia" w:ascii="仿宋_GB2312" w:hAnsi="仿宋_GB2312" w:eastAsia="仿宋_GB2312" w:cs="宋体"/>
          <w:color w:val="000000"/>
          <w:spacing w:val="0"/>
          <w:kern w:val="0"/>
          <w:sz w:val="32"/>
          <w:szCs w:val="32"/>
          <w:highlight w:val="none"/>
          <w:lang w:val="en-US" w:eastAsia="zh-CN"/>
        </w:rPr>
        <w:t>规范各物料、固（危）废物等分类管理措施。加强环境风险防范，合理编制应急预案、建设应急设施，做好应急物资保障。</w:t>
      </w:r>
      <w:r>
        <w:rPr>
          <w:rFonts w:hint="eastAsia" w:ascii="仿宋_GB2312" w:eastAsia="仿宋_GB2312"/>
          <w:color w:val="000000"/>
          <w:spacing w:val="0"/>
          <w:sz w:val="32"/>
          <w:szCs w:val="32"/>
          <w:highlight w:val="none"/>
          <w:lang w:val="en-US" w:eastAsia="zh-CN"/>
        </w:rPr>
        <w:t>定期开展环境隐患排查治理，</w:t>
      </w:r>
      <w:r>
        <w:rPr>
          <w:rFonts w:hint="eastAsia" w:ascii="仿宋_GB2312" w:hAnsi="仿宋" w:eastAsia="仿宋_GB2312"/>
          <w:color w:val="auto"/>
          <w:spacing w:val="0"/>
          <w:sz w:val="32"/>
          <w:szCs w:val="32"/>
          <w:highlight w:val="none"/>
          <w:lang w:eastAsia="zh-CN"/>
        </w:rPr>
        <w:t>防止污染事故发生，</w:t>
      </w:r>
      <w:r>
        <w:rPr>
          <w:rFonts w:hint="eastAsia" w:ascii="仿宋_GB2312" w:eastAsia="仿宋_GB2312"/>
          <w:color w:val="000000"/>
          <w:spacing w:val="0"/>
          <w:sz w:val="32"/>
          <w:szCs w:val="32"/>
          <w:highlight w:val="none"/>
          <w:lang w:val="en-US" w:eastAsia="zh-CN"/>
        </w:rPr>
        <w:t>确保环境安全</w:t>
      </w:r>
      <w:r>
        <w:rPr>
          <w:rFonts w:hint="eastAsia" w:ascii="仿宋_GB2312" w:hAnsi="仿宋" w:eastAsia="仿宋_GB2312"/>
          <w:color w:val="auto"/>
          <w:spacing w:val="0"/>
          <w:sz w:val="32"/>
          <w:szCs w:val="32"/>
          <w:highlight w:val="none"/>
          <w:lang w:eastAsia="zh-CN"/>
        </w:rPr>
        <w:t>。</w:t>
      </w:r>
    </w:p>
    <w:p w14:paraId="20756D1F">
      <w:pPr>
        <w:pStyle w:val="8"/>
        <w:keepNext/>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eastAsia" w:ascii="仿宋_GB2312" w:eastAsia="仿宋_GB2312"/>
          <w:color w:val="000000"/>
          <w:spacing w:val="0"/>
          <w:sz w:val="32"/>
          <w:szCs w:val="32"/>
          <w:highlight w:val="none"/>
        </w:rPr>
      </w:pPr>
      <w:r>
        <w:rPr>
          <w:rFonts w:hint="eastAsia" w:ascii="仿宋_GB2312" w:eastAsia="仿宋_GB2312"/>
          <w:color w:val="000000"/>
          <w:spacing w:val="0"/>
          <w:sz w:val="32"/>
          <w:szCs w:val="32"/>
          <w:highlight w:val="none"/>
          <w:lang w:val="en-US" w:eastAsia="zh-CN"/>
        </w:rPr>
        <w:t>2.</w:t>
      </w:r>
      <w:r>
        <w:rPr>
          <w:rFonts w:hint="eastAsia" w:ascii="仿宋_GB2312" w:eastAsia="仿宋_GB2312"/>
          <w:color w:val="000000"/>
          <w:spacing w:val="0"/>
          <w:sz w:val="32"/>
          <w:szCs w:val="32"/>
          <w:highlight w:val="none"/>
        </w:rPr>
        <w:t>严格执行环境保护“三同时”制度</w:t>
      </w:r>
      <w:r>
        <w:rPr>
          <w:rFonts w:hint="eastAsia" w:ascii="仿宋_GB2312" w:eastAsia="仿宋_GB2312"/>
          <w:color w:val="000000"/>
          <w:spacing w:val="0"/>
          <w:sz w:val="32"/>
          <w:szCs w:val="32"/>
          <w:highlight w:val="none"/>
          <w:lang w:eastAsia="zh-CN"/>
        </w:rPr>
        <w:t>，</w:t>
      </w:r>
      <w:r>
        <w:rPr>
          <w:rFonts w:hint="eastAsia" w:ascii="仿宋_GB2312" w:eastAsia="仿宋_GB2312"/>
          <w:color w:val="000000"/>
          <w:spacing w:val="0"/>
          <w:sz w:val="32"/>
          <w:szCs w:val="32"/>
          <w:highlight w:val="none"/>
        </w:rPr>
        <w:t>项目建成后</w:t>
      </w:r>
      <w:r>
        <w:rPr>
          <w:rFonts w:hint="eastAsia" w:ascii="仿宋_GB2312" w:eastAsia="仿宋_GB2312"/>
          <w:color w:val="000000"/>
          <w:spacing w:val="0"/>
          <w:sz w:val="32"/>
          <w:szCs w:val="32"/>
          <w:highlight w:val="none"/>
          <w:lang w:eastAsia="zh-CN"/>
        </w:rPr>
        <w:t>，</w:t>
      </w:r>
      <w:r>
        <w:rPr>
          <w:rFonts w:hint="eastAsia" w:ascii="仿宋_GB2312" w:eastAsia="仿宋_GB2312"/>
          <w:color w:val="000000"/>
          <w:spacing w:val="0"/>
          <w:sz w:val="32"/>
          <w:szCs w:val="32"/>
          <w:highlight w:val="none"/>
        </w:rPr>
        <w:t>按规定程序开展竣工环保验收</w:t>
      </w:r>
      <w:r>
        <w:rPr>
          <w:rFonts w:hint="eastAsia" w:ascii="仿宋_GB2312" w:eastAsia="仿宋_GB2312"/>
          <w:color w:val="000000"/>
          <w:spacing w:val="0"/>
          <w:sz w:val="32"/>
          <w:szCs w:val="32"/>
          <w:highlight w:val="none"/>
          <w:lang w:val="en-US" w:eastAsia="zh-CN"/>
        </w:rPr>
        <w:t>,</w:t>
      </w:r>
      <w:r>
        <w:rPr>
          <w:rFonts w:hint="eastAsia" w:ascii="仿宋_GB2312" w:eastAsia="仿宋_GB2312"/>
          <w:color w:val="000000"/>
          <w:spacing w:val="0"/>
          <w:sz w:val="32"/>
          <w:szCs w:val="32"/>
          <w:highlight w:val="none"/>
        </w:rPr>
        <w:t>并报生态环境部门备案</w:t>
      </w:r>
      <w:r>
        <w:rPr>
          <w:rFonts w:hint="eastAsia" w:ascii="仿宋_GB2312" w:eastAsia="仿宋_GB2312"/>
          <w:color w:val="000000"/>
          <w:spacing w:val="0"/>
          <w:sz w:val="32"/>
          <w:szCs w:val="32"/>
          <w:highlight w:val="none"/>
          <w:lang w:eastAsia="zh-CN"/>
        </w:rPr>
        <w:t>。</w:t>
      </w:r>
    </w:p>
    <w:p w14:paraId="51C21A21">
      <w:pPr>
        <w:pStyle w:val="8"/>
        <w:keepNext/>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outlineLvl w:val="9"/>
        <w:rPr>
          <w:rFonts w:hint="eastAsia" w:ascii="仿宋_GB2312" w:eastAsia="仿宋_GB2312"/>
          <w:color w:val="000000"/>
          <w:spacing w:val="0"/>
          <w:sz w:val="32"/>
          <w:szCs w:val="32"/>
          <w:highlight w:val="yellow"/>
          <w:lang w:val="en-US" w:eastAsia="zh-CN"/>
        </w:rPr>
      </w:pPr>
      <w:r>
        <w:rPr>
          <w:rFonts w:hint="eastAsia" w:ascii="仿宋_GB2312" w:eastAsia="仿宋_GB2312"/>
          <w:color w:val="000000"/>
          <w:spacing w:val="0"/>
          <w:sz w:val="32"/>
          <w:szCs w:val="32"/>
          <w:highlight w:val="none"/>
          <w:lang w:val="en-US" w:eastAsia="zh-CN"/>
        </w:rPr>
        <w:t>3.</w:t>
      </w:r>
      <w:r>
        <w:rPr>
          <w:rFonts w:hint="eastAsia" w:ascii="仿宋_GB2312" w:eastAsia="仿宋_GB2312"/>
          <w:color w:val="000000"/>
          <w:spacing w:val="0"/>
          <w:sz w:val="32"/>
          <w:szCs w:val="32"/>
          <w:highlight w:val="none"/>
        </w:rPr>
        <w:t>依据《环境影响评价公众参与办法》相关规定，落实环境信息公开的主体责任，依法依规公开环境信息。</w:t>
      </w:r>
    </w:p>
    <w:p w14:paraId="69E5AD70">
      <w:pPr>
        <w:pStyle w:val="8"/>
        <w:keepNext/>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eastAsia" w:ascii="仿宋_GB2312" w:eastAsia="仿宋_GB2312"/>
          <w:color w:val="000000"/>
          <w:spacing w:val="0"/>
          <w:sz w:val="32"/>
          <w:szCs w:val="32"/>
          <w:lang w:eastAsia="zh-CN"/>
        </w:rPr>
      </w:pPr>
      <w:r>
        <w:rPr>
          <w:rFonts w:hint="eastAsia" w:ascii="仿宋_GB2312" w:hAnsi="仿宋_GB2312" w:eastAsia="仿宋_GB2312" w:cs="仿宋_GB2312"/>
          <w:color w:val="000000"/>
          <w:spacing w:val="0"/>
          <w:sz w:val="32"/>
          <w:szCs w:val="32"/>
          <w:highlight w:val="none"/>
          <w:lang w:val="en-US" w:eastAsia="zh-CN"/>
        </w:rPr>
        <w:t>4.</w:t>
      </w:r>
      <w:r>
        <w:rPr>
          <w:rFonts w:hint="eastAsia" w:ascii="仿宋_GB2312" w:eastAsia="仿宋_GB2312"/>
          <w:color w:val="000000"/>
          <w:spacing w:val="0"/>
          <w:sz w:val="32"/>
          <w:szCs w:val="32"/>
          <w:highlight w:val="none"/>
        </w:rPr>
        <w:t>《报告表》经批准后，项目性质、规模、地点、采用的工艺或防治污染、防止生态破坏的措施发生重大变动，应当重新报批该项目环境影响评价文件</w:t>
      </w:r>
      <w:r>
        <w:rPr>
          <w:rFonts w:hint="eastAsia" w:ascii="仿宋_GB2312" w:eastAsia="仿宋_GB2312"/>
          <w:color w:val="000000"/>
          <w:spacing w:val="0"/>
          <w:sz w:val="32"/>
          <w:szCs w:val="32"/>
          <w:highlight w:val="none"/>
          <w:lang w:eastAsia="zh-CN"/>
        </w:rPr>
        <w:t>。</w:t>
      </w:r>
      <w:r>
        <w:rPr>
          <w:rFonts w:hint="eastAsia" w:ascii="仿宋_GB2312" w:eastAsia="仿宋_GB2312"/>
          <w:color w:val="000000"/>
          <w:spacing w:val="0"/>
          <w:sz w:val="32"/>
          <w:szCs w:val="32"/>
          <w:highlight w:val="none"/>
        </w:rPr>
        <w:t>自批准之日起，</w:t>
      </w:r>
      <w:r>
        <w:rPr>
          <w:rFonts w:hint="eastAsia" w:ascii="仿宋_GB2312" w:eastAsia="仿宋_GB2312"/>
          <w:color w:val="000000"/>
          <w:spacing w:val="0"/>
          <w:sz w:val="32"/>
          <w:szCs w:val="32"/>
          <w:highlight w:val="none"/>
          <w:lang w:eastAsia="zh-CN"/>
        </w:rPr>
        <w:t>超过五年方决定该项目开工建设的，需重新报批环境影响评价文件。</w:t>
      </w:r>
    </w:p>
    <w:p w14:paraId="1588E5E4">
      <w:pPr>
        <w:keepNext/>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color w:val="000000"/>
          <w:spacing w:val="0"/>
          <w:sz w:val="32"/>
          <w:szCs w:val="32"/>
          <w:lang w:eastAsia="zh-CN"/>
        </w:rPr>
      </w:pP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项目涉及其他行政主管部门事项的，按相关部门有关规定和意见执行</w:t>
      </w:r>
      <w:r>
        <w:rPr>
          <w:rFonts w:hint="eastAsia" w:ascii="仿宋_GB2312" w:hAnsi="仿宋_GB2312" w:eastAsia="仿宋_GB2312" w:cs="仿宋_GB2312"/>
          <w:spacing w:val="0"/>
          <w:sz w:val="32"/>
          <w:szCs w:val="32"/>
          <w:lang w:eastAsia="zh-CN"/>
        </w:rPr>
        <w:t>。</w:t>
      </w:r>
    </w:p>
    <w:p w14:paraId="21759EE1">
      <w:pPr>
        <w:keepNext/>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outlineLvl w:val="9"/>
        <w:rPr>
          <w:rFonts w:hint="eastAsia" w:ascii="仿宋_GB2312" w:hAnsi="仿宋_GB2312" w:eastAsia="仿宋_GB2312" w:cs="仿宋_GB2312"/>
          <w:color w:val="000000"/>
          <w:spacing w:val="0"/>
          <w:sz w:val="32"/>
          <w:szCs w:val="32"/>
          <w:lang w:val="en-US" w:eastAsia="zh-CN"/>
        </w:rPr>
      </w:pPr>
    </w:p>
    <w:p w14:paraId="46F5AF26">
      <w:pPr>
        <w:keepNext/>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outlineLvl w:val="9"/>
        <w:rPr>
          <w:rFonts w:hint="eastAsia" w:ascii="仿宋_GB2312" w:hAnsi="仿宋_GB2312" w:eastAsia="仿宋_GB2312" w:cs="仿宋_GB2312"/>
          <w:color w:val="000000"/>
          <w:spacing w:val="0"/>
          <w:sz w:val="32"/>
          <w:szCs w:val="32"/>
          <w:lang w:val="en-US" w:eastAsia="zh-CN"/>
        </w:rPr>
      </w:pPr>
    </w:p>
    <w:p w14:paraId="6F563E19">
      <w:pPr>
        <w:keepNext/>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outlineLvl w:val="9"/>
        <w:rPr>
          <w:rFonts w:hint="eastAsia" w:ascii="仿宋_GB2312" w:hAnsi="仿宋_GB2312" w:eastAsia="仿宋_GB2312" w:cs="仿宋_GB2312"/>
          <w:color w:val="000000"/>
          <w:spacing w:val="0"/>
          <w:sz w:val="32"/>
          <w:szCs w:val="32"/>
          <w:lang w:val="en-US" w:eastAsia="zh-CN"/>
        </w:rPr>
      </w:pPr>
      <w:r>
        <w:rPr>
          <w:rFonts w:hint="eastAsia" w:ascii="仿宋_GB2312" w:hAnsi="仿宋_GB2312" w:eastAsia="仿宋_GB2312" w:cs="仿宋_GB2312"/>
          <w:color w:val="000000"/>
          <w:spacing w:val="0"/>
          <w:sz w:val="32"/>
          <w:szCs w:val="32"/>
          <w:lang w:val="en-US" w:eastAsia="zh-CN"/>
        </w:rPr>
        <w:t>佛坪县数据和政务服务局</w:t>
      </w:r>
    </w:p>
    <w:p w14:paraId="203B2BC9">
      <w:pPr>
        <w:keepNext/>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outlineLvl w:val="9"/>
        <w:rPr>
          <w:rFonts w:hint="default" w:ascii="仿宋_GB2312" w:hAnsi="仿宋_GB2312" w:eastAsia="仿宋_GB2312" w:cs="仿宋_GB2312"/>
          <w:color w:val="000000"/>
          <w:spacing w:val="0"/>
          <w:sz w:val="32"/>
          <w:szCs w:val="32"/>
          <w:lang w:val="en-US" w:eastAsia="zh-CN"/>
        </w:rPr>
      </w:pPr>
      <w:r>
        <w:rPr>
          <w:rFonts w:hint="eastAsia" w:ascii="仿宋_GB2312" w:hAnsi="仿宋_GB2312" w:eastAsia="仿宋_GB2312" w:cs="仿宋_GB2312"/>
          <w:color w:val="000000"/>
          <w:spacing w:val="0"/>
          <w:sz w:val="32"/>
          <w:szCs w:val="32"/>
          <w:lang w:val="en-US" w:eastAsia="zh-CN"/>
        </w:rPr>
        <w:t>2026年8月14日</w:t>
      </w:r>
    </w:p>
    <w:p w14:paraId="39933037">
      <w:pPr>
        <w:pStyle w:val="7"/>
        <w:keepLines w:val="0"/>
        <w:pageBreakBefore w:val="0"/>
        <w:widowControl w:val="0"/>
        <w:kinsoku/>
        <w:wordWrap/>
        <w:overflowPunct/>
        <w:topLinePunct w:val="0"/>
        <w:bidi w:val="0"/>
        <w:snapToGrid/>
        <w:spacing w:line="560" w:lineRule="exact"/>
        <w:jc w:val="both"/>
        <w:textAlignment w:val="auto"/>
        <w:rPr>
          <w:rFonts w:hint="eastAsia"/>
          <w:lang w:val="en-US" w:eastAsia="zh-CN"/>
        </w:rPr>
      </w:pPr>
    </w:p>
    <w:p w14:paraId="7C433ECC">
      <w:pPr>
        <w:pStyle w:val="7"/>
        <w:keepLines w:val="0"/>
        <w:pageBreakBefore w:val="0"/>
        <w:widowControl w:val="0"/>
        <w:kinsoku/>
        <w:wordWrap/>
        <w:overflowPunct/>
        <w:topLinePunct w:val="0"/>
        <w:bidi w:val="0"/>
        <w:snapToGrid/>
        <w:spacing w:line="560" w:lineRule="exact"/>
        <w:jc w:val="both"/>
        <w:textAlignment w:val="auto"/>
        <w:rPr>
          <w:rFonts w:hint="eastAsia"/>
          <w:lang w:val="en-US" w:eastAsia="zh-CN"/>
        </w:rPr>
      </w:pPr>
    </w:p>
    <w:p w14:paraId="3E67BF16">
      <w:pPr>
        <w:pStyle w:val="7"/>
        <w:keepLines w:val="0"/>
        <w:pageBreakBefore w:val="0"/>
        <w:widowControl w:val="0"/>
        <w:kinsoku/>
        <w:wordWrap/>
        <w:overflowPunct/>
        <w:topLinePunct w:val="0"/>
        <w:bidi w:val="0"/>
        <w:snapToGrid/>
        <w:spacing w:line="560" w:lineRule="exact"/>
        <w:jc w:val="both"/>
        <w:textAlignment w:val="auto"/>
        <w:rPr>
          <w:rFonts w:hint="eastAsia"/>
          <w:lang w:val="en-US" w:eastAsia="zh-CN"/>
        </w:rPr>
      </w:pPr>
    </w:p>
    <w:p w14:paraId="09D8E4F3">
      <w:pPr>
        <w:pStyle w:val="7"/>
        <w:keepLines w:val="0"/>
        <w:pageBreakBefore w:val="0"/>
        <w:widowControl w:val="0"/>
        <w:kinsoku/>
        <w:wordWrap/>
        <w:overflowPunct/>
        <w:topLinePunct w:val="0"/>
        <w:bidi w:val="0"/>
        <w:snapToGrid/>
        <w:spacing w:line="560" w:lineRule="exact"/>
        <w:jc w:val="both"/>
        <w:textAlignment w:val="auto"/>
        <w:rPr>
          <w:rFonts w:hint="eastAsia"/>
          <w:lang w:val="en-US" w:eastAsia="zh-CN"/>
        </w:rPr>
      </w:pPr>
    </w:p>
    <w:p w14:paraId="6A6EF88B">
      <w:pPr>
        <w:keepNext/>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spacing w:val="0"/>
          <w:sz w:val="32"/>
          <w:szCs w:val="32"/>
        </w:rPr>
      </w:pPr>
    </w:p>
    <w:p w14:paraId="77029ABD">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64B7EA13">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7631F7EC">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0F987564">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5535C376">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41E5F017">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3875A79B">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44C1EE6D">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0FC7CCCA">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04A6F3EF">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07ACD706">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08B998A7">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10E5720B">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bookmarkStart w:id="0" w:name="_GoBack"/>
    </w:p>
    <w:bookmarkEnd w:id="0"/>
    <w:p w14:paraId="0FC6E25A">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615A93CB">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243C8496">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4351C10C">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075563DB">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73E3ACCC">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77396B36">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31714E56">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p>
    <w:p w14:paraId="49BCB8D1">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280" w:firstLineChars="1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抄送：市行政审批局，市生态环境局。</w:t>
      </w:r>
    </w:p>
    <w:p w14:paraId="79DE3408">
      <w:pPr>
        <w:pStyle w:val="7"/>
        <w:keepNext w:val="0"/>
        <w:keepLines w:val="0"/>
        <w:pageBreakBefore w:val="0"/>
        <w:widowControl w:val="0"/>
        <w:kinsoku/>
        <w:wordWrap/>
        <w:overflowPunct/>
        <w:topLinePunct w:val="0"/>
        <w:autoSpaceDE w:val="0"/>
        <w:autoSpaceDN w:val="0"/>
        <w:bidi w:val="0"/>
        <w:adjustRightInd w:val="0"/>
        <w:snapToGrid/>
        <w:spacing w:line="560" w:lineRule="exact"/>
        <w:ind w:firstLine="1120" w:firstLineChars="400"/>
        <w:textAlignment w:val="auto"/>
        <w:rPr>
          <w:rFonts w:hint="eastAsia"/>
          <w:lang w:val="en-US" w:eastAsia="zh-CN"/>
        </w:rPr>
      </w:pPr>
      <w:r>
        <w:rPr>
          <w:rFonts w:hint="eastAsia" w:ascii="仿宋_GB2312" w:hAnsi="仿宋_GB2312" w:eastAsia="仿宋_GB2312" w:cs="仿宋_GB2312"/>
          <w:color w:val="000000"/>
          <w:sz w:val="28"/>
          <w:szCs w:val="28"/>
          <w:lang w:val="en-US" w:eastAsia="zh-CN"/>
        </w:rPr>
        <w:t>市生态环境局佛坪分局。</w:t>
      </w:r>
    </w:p>
    <w:p w14:paraId="601D0B9A">
      <w:pPr>
        <w:tabs>
          <w:tab w:val="left" w:pos="1482"/>
        </w:tabs>
        <w:bidi w:val="0"/>
        <w:jc w:val="left"/>
        <w:rPr>
          <w:lang w:val="en-US" w:eastAsia="zh-CN"/>
        </w:rPr>
      </w:pPr>
      <w:r>
        <w:rPr>
          <w:rFonts w:hint="eastAsia"/>
          <w:lang w:val="en-US" w:eastAsia="zh-CN"/>
        </w:rPr>
        <w:tab/>
      </w:r>
    </w:p>
    <w:sectPr>
      <w:footerReference r:id="rId4" w:type="first"/>
      <w:footerReference r:id="rId3" w:type="default"/>
      <w:pgSz w:w="11906" w:h="16838"/>
      <w:pgMar w:top="1440" w:right="1361" w:bottom="1440" w:left="1531" w:header="851" w:footer="992" w:gutter="0"/>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CA1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7560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F7560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0DDB">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E46FD">
                          <w:pPr>
                            <w:pStyle w:val="2"/>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5E46FD">
                    <w:pPr>
                      <w:pStyle w:val="2"/>
                      <w:rPr>
                        <w:rFonts w:hint="eastAsia" w:ascii="宋体" w:hAnsi="宋体" w:eastAsia="宋体" w:cs="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wYjMxMWIyYTFlZTdjNzEzZGYxNjg0Njg1NjhiZTgifQ=="/>
  </w:docVars>
  <w:rsids>
    <w:rsidRoot w:val="1B31246D"/>
    <w:rsid w:val="013B7F7B"/>
    <w:rsid w:val="01474AEB"/>
    <w:rsid w:val="0239518F"/>
    <w:rsid w:val="028E13EB"/>
    <w:rsid w:val="036B6853"/>
    <w:rsid w:val="03886477"/>
    <w:rsid w:val="04B14F1D"/>
    <w:rsid w:val="04CC659F"/>
    <w:rsid w:val="05AC5594"/>
    <w:rsid w:val="05C930CA"/>
    <w:rsid w:val="05FA06DD"/>
    <w:rsid w:val="076F0BA5"/>
    <w:rsid w:val="08A92C60"/>
    <w:rsid w:val="0AC21A1E"/>
    <w:rsid w:val="0B350656"/>
    <w:rsid w:val="0C120B1D"/>
    <w:rsid w:val="0D6560F9"/>
    <w:rsid w:val="0FC46039"/>
    <w:rsid w:val="105A16F8"/>
    <w:rsid w:val="13F22685"/>
    <w:rsid w:val="14445DAD"/>
    <w:rsid w:val="15000600"/>
    <w:rsid w:val="16133C89"/>
    <w:rsid w:val="1663005B"/>
    <w:rsid w:val="16A2262B"/>
    <w:rsid w:val="16EF2001"/>
    <w:rsid w:val="16F47617"/>
    <w:rsid w:val="170709B5"/>
    <w:rsid w:val="179657CE"/>
    <w:rsid w:val="1AE912D5"/>
    <w:rsid w:val="1B31246D"/>
    <w:rsid w:val="1B341AAB"/>
    <w:rsid w:val="1B39775D"/>
    <w:rsid w:val="1B7370FE"/>
    <w:rsid w:val="1CB50209"/>
    <w:rsid w:val="1E445E34"/>
    <w:rsid w:val="1E8252BC"/>
    <w:rsid w:val="20166C70"/>
    <w:rsid w:val="20914128"/>
    <w:rsid w:val="20D90C8E"/>
    <w:rsid w:val="22280ABD"/>
    <w:rsid w:val="222D60D3"/>
    <w:rsid w:val="23E10F23"/>
    <w:rsid w:val="23EB2232"/>
    <w:rsid w:val="247C06D4"/>
    <w:rsid w:val="24DF2F34"/>
    <w:rsid w:val="24FE6690"/>
    <w:rsid w:val="25A0125E"/>
    <w:rsid w:val="25BD318C"/>
    <w:rsid w:val="26397D4C"/>
    <w:rsid w:val="26C57AB8"/>
    <w:rsid w:val="26E32EDA"/>
    <w:rsid w:val="28BF0C28"/>
    <w:rsid w:val="2B991C14"/>
    <w:rsid w:val="2E5073D1"/>
    <w:rsid w:val="31C736D3"/>
    <w:rsid w:val="341A7D25"/>
    <w:rsid w:val="34940CBC"/>
    <w:rsid w:val="3522139B"/>
    <w:rsid w:val="352C24EE"/>
    <w:rsid w:val="358E29D0"/>
    <w:rsid w:val="38D96104"/>
    <w:rsid w:val="398F16AA"/>
    <w:rsid w:val="39BE7B44"/>
    <w:rsid w:val="3A0079D2"/>
    <w:rsid w:val="3AF9038D"/>
    <w:rsid w:val="3B134984"/>
    <w:rsid w:val="3B445A6E"/>
    <w:rsid w:val="3CE2402C"/>
    <w:rsid w:val="3DDC26C8"/>
    <w:rsid w:val="3EA03A5D"/>
    <w:rsid w:val="3F2A4740"/>
    <w:rsid w:val="3FCF35E7"/>
    <w:rsid w:val="3FDC66CA"/>
    <w:rsid w:val="403D352D"/>
    <w:rsid w:val="40551718"/>
    <w:rsid w:val="40B01F51"/>
    <w:rsid w:val="413A2DA8"/>
    <w:rsid w:val="432A5FEB"/>
    <w:rsid w:val="435C7492"/>
    <w:rsid w:val="43647C99"/>
    <w:rsid w:val="436854A3"/>
    <w:rsid w:val="440920A4"/>
    <w:rsid w:val="455A14D6"/>
    <w:rsid w:val="46047707"/>
    <w:rsid w:val="4631143E"/>
    <w:rsid w:val="46703045"/>
    <w:rsid w:val="48EA73FB"/>
    <w:rsid w:val="49346FB8"/>
    <w:rsid w:val="4995066C"/>
    <w:rsid w:val="499E3D11"/>
    <w:rsid w:val="49AD0A2F"/>
    <w:rsid w:val="4B5D216A"/>
    <w:rsid w:val="4B737A56"/>
    <w:rsid w:val="4D884E31"/>
    <w:rsid w:val="4DBF1A26"/>
    <w:rsid w:val="4E695898"/>
    <w:rsid w:val="4E90130A"/>
    <w:rsid w:val="4EB15812"/>
    <w:rsid w:val="4F111E0D"/>
    <w:rsid w:val="4F5F39D1"/>
    <w:rsid w:val="503907BB"/>
    <w:rsid w:val="503A79FD"/>
    <w:rsid w:val="51CD2C93"/>
    <w:rsid w:val="52636FF0"/>
    <w:rsid w:val="52914DE0"/>
    <w:rsid w:val="533B1509"/>
    <w:rsid w:val="53784B50"/>
    <w:rsid w:val="541458DC"/>
    <w:rsid w:val="555B2034"/>
    <w:rsid w:val="55752698"/>
    <w:rsid w:val="55893228"/>
    <w:rsid w:val="564071E3"/>
    <w:rsid w:val="56FC08C8"/>
    <w:rsid w:val="58240186"/>
    <w:rsid w:val="58251034"/>
    <w:rsid w:val="584E1AA4"/>
    <w:rsid w:val="58C542D7"/>
    <w:rsid w:val="58FD34C7"/>
    <w:rsid w:val="599D57E4"/>
    <w:rsid w:val="5DB2770A"/>
    <w:rsid w:val="5DEB5A69"/>
    <w:rsid w:val="5E104691"/>
    <w:rsid w:val="5E37718A"/>
    <w:rsid w:val="610934B9"/>
    <w:rsid w:val="62FA10DE"/>
    <w:rsid w:val="63835AB1"/>
    <w:rsid w:val="64A33EBC"/>
    <w:rsid w:val="64C4468B"/>
    <w:rsid w:val="678975E0"/>
    <w:rsid w:val="67E372A4"/>
    <w:rsid w:val="68124217"/>
    <w:rsid w:val="691C6DC5"/>
    <w:rsid w:val="692B09B6"/>
    <w:rsid w:val="6AE17565"/>
    <w:rsid w:val="6D0E5C03"/>
    <w:rsid w:val="6E07266C"/>
    <w:rsid w:val="72984932"/>
    <w:rsid w:val="72E00DBC"/>
    <w:rsid w:val="73E56B14"/>
    <w:rsid w:val="742B7ECE"/>
    <w:rsid w:val="745A00F7"/>
    <w:rsid w:val="754A124E"/>
    <w:rsid w:val="76B5487D"/>
    <w:rsid w:val="77257D4A"/>
    <w:rsid w:val="77A13DC6"/>
    <w:rsid w:val="77CE0783"/>
    <w:rsid w:val="780600CD"/>
    <w:rsid w:val="79D2552E"/>
    <w:rsid w:val="7A274C59"/>
    <w:rsid w:val="7ADA6E1B"/>
    <w:rsid w:val="7AF617C6"/>
    <w:rsid w:val="7B373932"/>
    <w:rsid w:val="7B7B13B5"/>
    <w:rsid w:val="7B84658F"/>
    <w:rsid w:val="7C501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
    <w:name w:val="p15"/>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1428</Words>
  <Characters>1457</Characters>
  <Lines>0</Lines>
  <Paragraphs>0</Paragraphs>
  <TotalTime>2</TotalTime>
  <ScaleCrop>false</ScaleCrop>
  <LinksUpToDate>false</LinksUpToDate>
  <CharactersWithSpaces>1458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2020-09-29T13:33:00Z</dcterms:created>
  <dc:creator>zprjh</dc:creator>
  <cp:lastModifiedBy>PCY</cp:lastModifiedBy>
  <cp:lastPrinted>2025-10-22T07:21:00Z</cp:lastPrinted>
  <dcterms:modified xsi:type="dcterms:W3CDTF">2026-08-14T08:38:17Z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13CBFD8BC49C4528AEC1378DAFA607EC_13</vt:lpwstr>
  </property>
  <property fmtid="{D5CDD505-2E9C-101B-9397-08002B2CF9AE}" pid="4" name="KSOTemplateDocerSaveRecord">
    <vt:lpwstr>eyJoZGlkIjoiY2IxZGIxMDRmM2VkODA5OTBhZWU0ZGY3MmMzZDJhMGQiLCJ1c2VySWQiOiI1NzI5MTI1MzgifQ==</vt:lpwstr>
  </property>
</Properties>
</file>