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4E0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  <w:bookmarkStart w:id="0" w:name="_GoBack"/>
      <w:bookmarkEnd w:id="0"/>
    </w:p>
    <w:p w14:paraId="751E20F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52ABBCF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498CECDC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</w:pPr>
    </w:p>
    <w:p w14:paraId="347AE9A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数政函</w:t>
      </w:r>
      <w:r>
        <w:rPr>
          <w:rFonts w:hint="eastAsia" w:ascii="仿宋_GB2312" w:eastAsia="仿宋_GB2312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6CB2FD9A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</w:p>
    <w:p w14:paraId="42FC443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</w:rPr>
        <w:t>关于</w:t>
      </w:r>
      <w:r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  <w:lang w:val="en-US" w:eastAsia="zh-CN"/>
        </w:rPr>
        <w:t>佛坪县东岳殿至陈家坝公路改建工程</w:t>
      </w:r>
    </w:p>
    <w:p w14:paraId="25D47E7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color w:val="000000"/>
          <w:spacing w:val="0"/>
          <w:sz w:val="44"/>
          <w:szCs w:val="44"/>
          <w:lang w:val="en-US" w:eastAsia="zh-CN"/>
        </w:rPr>
        <w:t>碎石加工场项目</w:t>
      </w:r>
      <w:r>
        <w:rPr>
          <w:rFonts w:hint="eastAsia" w:ascii="方正小标宋简体" w:eastAsia="方正小标宋简体"/>
          <w:color w:val="000000"/>
          <w:spacing w:val="0"/>
          <w:sz w:val="44"/>
          <w:szCs w:val="44"/>
        </w:rPr>
        <w:t>环境影响报告表的批复</w:t>
      </w:r>
    </w:p>
    <w:p w14:paraId="46CC63E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</w:p>
    <w:p w14:paraId="4A7987C0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eastAsia="仿宋_GB2312" w:cs="宋体"/>
          <w:spacing w:val="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佛坪县中瀚建筑工程有限公司</w:t>
      </w:r>
      <w:r>
        <w:rPr>
          <w:rFonts w:hint="eastAsia" w:ascii="仿宋_GB2312" w:eastAsia="仿宋_GB2312"/>
          <w:spacing w:val="0"/>
          <w:sz w:val="32"/>
          <w:szCs w:val="32"/>
          <w:u w:val="none"/>
          <w:lang w:val="en-US" w:eastAsia="zh-CN"/>
        </w:rPr>
        <w:t>：</w:t>
      </w:r>
    </w:p>
    <w:p w14:paraId="2FAFBB74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你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报来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《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佛坪县东岳殿至陈家坝公路改建工程碎石加工场项目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环境影响报告表》收悉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</w:rPr>
        <w:t>（以下简称《报告表》）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</w:rPr>
        <w:t>经研究，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  <w:lang w:eastAsia="zh-CN"/>
        </w:rPr>
        <w:t>审查意见</w:t>
      </w:r>
      <w:r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</w:rPr>
        <w:t>如下：</w:t>
      </w:r>
    </w:p>
    <w:p w14:paraId="7AF4637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黑体" w:hAnsi="黑体" w:eastAsia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0"/>
          <w:sz w:val="32"/>
          <w:szCs w:val="32"/>
        </w:rPr>
        <w:t>一、项目基本情况及</w:t>
      </w:r>
      <w:r>
        <w:rPr>
          <w:rFonts w:hint="eastAsia" w:ascii="黑体" w:hAnsi="黑体" w:eastAsia="黑体"/>
          <w:color w:val="000000"/>
          <w:spacing w:val="0"/>
          <w:sz w:val="32"/>
          <w:szCs w:val="32"/>
          <w:lang w:eastAsia="zh-CN"/>
        </w:rPr>
        <w:t>审查</w:t>
      </w:r>
      <w:r>
        <w:rPr>
          <w:rFonts w:hint="eastAsia" w:ascii="黑体" w:hAnsi="黑体" w:eastAsia="黑体"/>
          <w:color w:val="000000"/>
          <w:spacing w:val="0"/>
          <w:sz w:val="32"/>
          <w:szCs w:val="32"/>
        </w:rPr>
        <w:t>意见</w:t>
      </w:r>
    </w:p>
    <w:p w14:paraId="57BCA06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 w:cs="宋体"/>
          <w:color w:val="000000"/>
          <w:spacing w:val="0"/>
          <w:kern w:val="0"/>
          <w:sz w:val="32"/>
          <w:szCs w:val="32"/>
          <w:highlight w:val="yellow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该项目为东岳殿至陈家坝公路改建工程配套的临时性碎石加工项目，位于佛坪县袁家庄街道办东岳殿村，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拟新建1处临时碎石加工场，占地面积约8亩，主要利用隧道洞碴加工生产，购置给料机、颚式破碎机、反击破碎机、圆锥破碎机、振动筛等设备，项目建成后，年产8万吨自用碎石。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项目主体工程为建设全封闭钢结构生产车间，布置碎石加工生产线1条；辅助工程主要包括设置值班室、成品库等；公用工程包括给水、排水、供电等；环保工程包括废气、废水、噪声、固（危）废处置等。项目总投资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471.1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万元，其中环保投资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万元，占总投资的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4.25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%。</w:t>
      </w:r>
    </w:p>
    <w:p w14:paraId="570343D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仿宋_GB2312" w:eastAsia="仿宋_GB2312" w:cs="宋体"/>
          <w:spacing w:val="0"/>
          <w:kern w:val="0"/>
          <w:sz w:val="32"/>
          <w:szCs w:val="32"/>
        </w:rPr>
      </w:pP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经审查，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该项目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在全面落实《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》及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审查意见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中提出的各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项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污染防治措施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和环境风险防范措施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的前提下，从环境保护角度分析，同意按照《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报告表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》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确定的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项目规模、地点、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  <w:lang w:eastAsia="zh-CN"/>
        </w:rPr>
        <w:t>内容</w:t>
      </w:r>
      <w:r>
        <w:rPr>
          <w:rFonts w:hint="eastAsia" w:ascii="仿宋_GB2312" w:eastAsia="仿宋_GB2312" w:cs="宋体"/>
          <w:spacing w:val="0"/>
          <w:kern w:val="0"/>
          <w:sz w:val="32"/>
          <w:szCs w:val="32"/>
        </w:rPr>
        <w:t>和环境保护对策措施进行建设。</w:t>
      </w:r>
    </w:p>
    <w:p w14:paraId="0AC7CEA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5"/>
        <w:jc w:val="both"/>
        <w:textAlignment w:val="auto"/>
        <w:outlineLvl w:val="9"/>
        <w:rPr>
          <w:rFonts w:hint="eastAsia" w:ascii="黑体" w:hAnsi="黑体" w:eastAsia="黑体"/>
          <w:spacing w:val="0"/>
          <w:sz w:val="32"/>
          <w:szCs w:val="32"/>
        </w:rPr>
      </w:pPr>
      <w:r>
        <w:rPr>
          <w:rFonts w:hint="eastAsia" w:ascii="黑体" w:hAnsi="黑体" w:eastAsia="黑体"/>
          <w:spacing w:val="0"/>
          <w:sz w:val="32"/>
          <w:szCs w:val="32"/>
          <w:lang w:eastAsia="zh-CN"/>
        </w:rPr>
        <w:t>二、项目建设和运营管理中应</w:t>
      </w:r>
      <w:r>
        <w:rPr>
          <w:rFonts w:hint="eastAsia" w:ascii="黑体" w:hAnsi="黑体" w:eastAsia="黑体"/>
          <w:spacing w:val="0"/>
          <w:sz w:val="32"/>
          <w:szCs w:val="32"/>
        </w:rPr>
        <w:t>重点做好以下工作</w:t>
      </w:r>
    </w:p>
    <w:p w14:paraId="1925DC8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yellow"/>
        </w:rPr>
      </w:pPr>
      <w:r>
        <w:rPr>
          <w:rFonts w:hint="eastAsia" w:ascii="仿宋_GB2312" w:eastAsia="仿宋_GB2312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</w:rPr>
        <w:t>严格执行环境质量执行标准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</w:rPr>
        <w:t>污染物排放标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</w:rPr>
        <w:t>准。</w:t>
      </w:r>
    </w:p>
    <w:p w14:paraId="48CDDC58">
      <w:pPr>
        <w:pStyle w:val="8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2.严格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落实《报告表》提出的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各项污染防治和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环境管理措施。</w:t>
      </w:r>
    </w:p>
    <w:p w14:paraId="42231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3.加强大气污染防治工作。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围挡、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道路硬化、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湿法作业、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物料覆盖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等措施，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做好施工现场管理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。利用全封闭车间进行生产，物料破碎、筛分、装卸等过程采取喷淋、洒水措施降尘。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运输物料、渣土、土方等车辆必须符合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车辆使用规定，做到运输车辆“三不进两不出”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严格落实《报告表》提出的大气环境保护措施及防治措施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0E71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4.加强水污染防治工作。禁止设置污水排放口。厂区修建沉淀池，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  <w:t>施工废水、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生产</w:t>
      </w:r>
      <w:r>
        <w:rPr>
          <w:rFonts w:hint="eastAsia" w:ascii="仿宋_GB2312" w:hAnsi="仿宋" w:eastAsia="仿宋_GB2312"/>
          <w:spacing w:val="0"/>
          <w:sz w:val="32"/>
          <w:szCs w:val="32"/>
          <w:highlight w:val="none"/>
          <w:lang w:val="en-US" w:eastAsia="zh-CN"/>
        </w:rPr>
        <w:t>废水、车辆冲洗废水处理后综合利用；生活废水经化粪池处理后用于周边农田施肥。</w:t>
      </w:r>
    </w:p>
    <w:p w14:paraId="77E0A44F">
      <w:pPr>
        <w:pStyle w:val="8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5.加强噪声污染防治工作。选用低噪声设备和工艺，优化布局，并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加强设备日常检修和维护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。合理安排施工计划和施工时间，晚上十点至次日早晨六点之间，禁止开展因生产工艺要求或者特殊需要必须施工以外的其他作业。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严格按照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《中华人民共和国噪声污染防治法》有关规定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 w14:paraId="3F6F9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固（危）废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</w:rPr>
        <w:t>管理。</w:t>
      </w:r>
      <w:r>
        <w:rPr>
          <w:rFonts w:hint="eastAsia" w:ascii="仿宋_GB2312" w:hAnsi="仿宋_GB2312" w:eastAsia="仿宋_GB2312" w:cs="宋体"/>
          <w:spacing w:val="0"/>
          <w:kern w:val="0"/>
          <w:sz w:val="32"/>
          <w:szCs w:val="32"/>
          <w:highlight w:val="none"/>
          <w:lang w:eastAsia="zh-CN"/>
        </w:rPr>
        <w:t>施工过程中垃圾分类收集、合理处置，沉淀池污泥、生活垃圾等一般固体废物综合利用，均不得随意倾倒、焚烧。项目运行过程中产生的废机油、废机油桶、废含油手套和抹布等危险废物及时交由资质单位外运处置，杜绝跑冒滴漏现象。</w:t>
      </w:r>
    </w:p>
    <w:p w14:paraId="13388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" w:eastAsia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其他事项按有关法律法规执行。</w:t>
      </w:r>
    </w:p>
    <w:p w14:paraId="3FE0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color w:val="000000"/>
          <w:spacing w:val="0"/>
          <w:sz w:val="32"/>
          <w:szCs w:val="32"/>
        </w:rPr>
        <w:t>、严格执行环境保护管理制度</w:t>
      </w:r>
    </w:p>
    <w:p w14:paraId="348A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1.建立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val="en-US" w:eastAsia="zh-CN"/>
        </w:rPr>
        <w:t>健全环境管理制度，</w:t>
      </w:r>
      <w:r>
        <w:rPr>
          <w:rFonts w:hint="eastAsia" w:ascii="仿宋_GB2312" w:hAnsi="仿宋_GB2312" w:eastAsia="仿宋_GB2312" w:cs="宋体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定期检修维护设备，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做好运行记录；</w:t>
      </w:r>
      <w:r>
        <w:rPr>
          <w:rFonts w:hint="eastAsia" w:ascii="仿宋_GB2312" w:hAnsi="仿宋_GB2312" w:eastAsia="仿宋_GB2312" w:cs="宋体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规范各物料、固体废物等分类收集、贮存措施，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定期开展环境隐患排查治理，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防止污染事故发生，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确保环境安全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3618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严格执行环境保护“三同时”制度。项目建成后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按规定程序开展竣工环保验收</w:t>
      </w:r>
      <w:r>
        <w:rPr>
          <w:rFonts w:hint="eastAsia" w:ascii="仿宋_GB2312" w:eastAsia="仿宋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并报生态环境部门备案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 w14:paraId="3A19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highlight w:val="none"/>
        </w:rPr>
        <w:t>按照《建设项目环境影响评价信息公开机制方案》等要求，落实环境信息公开的主体责任，依法依规公开环境信息。</w:t>
      </w:r>
    </w:p>
    <w:p w14:paraId="7BDEE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4.本项目运营期满后，应及时拆除用地内所有临时设备，并进行场地清理、恢复。</w:t>
      </w:r>
    </w:p>
    <w:p w14:paraId="1655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《报告表》经批准后，项目性质、规模、地点、采用的生产工艺或防治污染、防止生态破坏的措施发生重大变动，应当重新报批该项目环境影响评价文件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自批准之日起，</w:t>
      </w:r>
      <w:r>
        <w:rPr>
          <w:rFonts w:hint="eastAsia" w:ascii="仿宋_GB2312" w:eastAsia="仿宋_GB2312"/>
          <w:color w:val="000000"/>
          <w:spacing w:val="0"/>
          <w:sz w:val="32"/>
          <w:szCs w:val="32"/>
          <w:lang w:eastAsia="zh-CN"/>
        </w:rPr>
        <w:t>超过五年方决定该项目开工建设的，需重新报批环境影响评价文件。</w:t>
      </w:r>
    </w:p>
    <w:p w14:paraId="19D50437">
      <w:pPr>
        <w:pStyle w:val="8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仿宋_GB2312" w:eastAsia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D9BD07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46F5AF2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</w:p>
    <w:p w14:paraId="6F563E1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佛坪县数据和政务服务局</w:t>
      </w:r>
    </w:p>
    <w:p w14:paraId="203B2BC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2026年7月17日</w:t>
      </w:r>
    </w:p>
    <w:p w14:paraId="39933037">
      <w:pPr>
        <w:pStyle w:val="7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7C433ECC">
      <w:pPr>
        <w:pStyle w:val="7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3E67BF16">
      <w:pPr>
        <w:pStyle w:val="7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09D8E4F3">
      <w:pPr>
        <w:pStyle w:val="7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p w14:paraId="6A6EF88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/>
          <w:spacing w:val="0"/>
          <w:sz w:val="32"/>
          <w:szCs w:val="32"/>
        </w:rPr>
      </w:pPr>
    </w:p>
    <w:p w14:paraId="77029AB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4B7EA1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631F7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F9875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5535C37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1E5F0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875A7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4C1EE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FC7CCC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4A6F3E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7ACD70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8B998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10E572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FC6E25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615A93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243C849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351C10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075563D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3E3ACC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77396B3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31714E5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 w14:paraId="49BCB8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抄送：市行政审批局，市生态环境局。</w:t>
      </w:r>
    </w:p>
    <w:p w14:paraId="79DE34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120" w:firstLineChars="4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市生态环境局佛坪分局。</w:t>
      </w:r>
    </w:p>
    <w:p w14:paraId="601D0B9A">
      <w:pPr>
        <w:tabs>
          <w:tab w:val="left" w:pos="148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4" w:type="first"/>
      <w:footerReference r:id="rId3" w:type="default"/>
      <w:pgSz w:w="11906" w:h="16838"/>
      <w:pgMar w:top="1440" w:right="1361" w:bottom="1440" w:left="1531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DCA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7560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7560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C0D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E46F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E46F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YjMxMWIyYTFlZTdjNzEzZGYxNjg0Njg1NjhiZTgifQ=="/>
  </w:docVars>
  <w:rsids>
    <w:rsidRoot w:val="1B31246D"/>
    <w:rsid w:val="013B7F7B"/>
    <w:rsid w:val="01474AEB"/>
    <w:rsid w:val="0239518F"/>
    <w:rsid w:val="028E13EB"/>
    <w:rsid w:val="036B6853"/>
    <w:rsid w:val="03886477"/>
    <w:rsid w:val="04B14F1D"/>
    <w:rsid w:val="04CC659F"/>
    <w:rsid w:val="05AC5594"/>
    <w:rsid w:val="05C930CA"/>
    <w:rsid w:val="05FA06DD"/>
    <w:rsid w:val="076F0BA5"/>
    <w:rsid w:val="08A92C60"/>
    <w:rsid w:val="0AC21A1E"/>
    <w:rsid w:val="0B350656"/>
    <w:rsid w:val="0C120B1D"/>
    <w:rsid w:val="0D6560F9"/>
    <w:rsid w:val="0FC46039"/>
    <w:rsid w:val="13F22685"/>
    <w:rsid w:val="14445DAD"/>
    <w:rsid w:val="15000600"/>
    <w:rsid w:val="16133C89"/>
    <w:rsid w:val="1663005B"/>
    <w:rsid w:val="16A2262B"/>
    <w:rsid w:val="16EF2001"/>
    <w:rsid w:val="16F47617"/>
    <w:rsid w:val="170709B5"/>
    <w:rsid w:val="179657CE"/>
    <w:rsid w:val="1AE912D5"/>
    <w:rsid w:val="1B31246D"/>
    <w:rsid w:val="1B341AAB"/>
    <w:rsid w:val="1B39775D"/>
    <w:rsid w:val="1B7370FE"/>
    <w:rsid w:val="1CB50209"/>
    <w:rsid w:val="1E445E34"/>
    <w:rsid w:val="1E8252BC"/>
    <w:rsid w:val="20166C70"/>
    <w:rsid w:val="20914128"/>
    <w:rsid w:val="20D90C8E"/>
    <w:rsid w:val="22280ABD"/>
    <w:rsid w:val="222D60D3"/>
    <w:rsid w:val="23E10F23"/>
    <w:rsid w:val="23EB2232"/>
    <w:rsid w:val="247C06D4"/>
    <w:rsid w:val="24DF2F34"/>
    <w:rsid w:val="24FE6690"/>
    <w:rsid w:val="25A0125E"/>
    <w:rsid w:val="25BD318C"/>
    <w:rsid w:val="26397D4C"/>
    <w:rsid w:val="26C57AB8"/>
    <w:rsid w:val="26E32EDA"/>
    <w:rsid w:val="28BF0C28"/>
    <w:rsid w:val="2B991C14"/>
    <w:rsid w:val="2E5073D1"/>
    <w:rsid w:val="31C736D3"/>
    <w:rsid w:val="341A7D25"/>
    <w:rsid w:val="34940CBC"/>
    <w:rsid w:val="3522139B"/>
    <w:rsid w:val="352C24EE"/>
    <w:rsid w:val="358E29D0"/>
    <w:rsid w:val="36602551"/>
    <w:rsid w:val="38D96104"/>
    <w:rsid w:val="398F16AA"/>
    <w:rsid w:val="39BE7B44"/>
    <w:rsid w:val="3A0079D2"/>
    <w:rsid w:val="3AF9038D"/>
    <w:rsid w:val="3B134984"/>
    <w:rsid w:val="3B445A6E"/>
    <w:rsid w:val="3CE2402C"/>
    <w:rsid w:val="3DDC26C8"/>
    <w:rsid w:val="3EA03A5D"/>
    <w:rsid w:val="3F2A4740"/>
    <w:rsid w:val="3FCF35E7"/>
    <w:rsid w:val="3FDC66CA"/>
    <w:rsid w:val="403D352D"/>
    <w:rsid w:val="40551718"/>
    <w:rsid w:val="40B01F51"/>
    <w:rsid w:val="413A2DA8"/>
    <w:rsid w:val="432A5FEB"/>
    <w:rsid w:val="435C7492"/>
    <w:rsid w:val="43647C99"/>
    <w:rsid w:val="436854A3"/>
    <w:rsid w:val="440920A4"/>
    <w:rsid w:val="455A14D6"/>
    <w:rsid w:val="46047707"/>
    <w:rsid w:val="4631143E"/>
    <w:rsid w:val="46703045"/>
    <w:rsid w:val="48EA73FB"/>
    <w:rsid w:val="49346FB8"/>
    <w:rsid w:val="4995066C"/>
    <w:rsid w:val="499E3D11"/>
    <w:rsid w:val="49AD0A2F"/>
    <w:rsid w:val="4B5D216A"/>
    <w:rsid w:val="4B737A56"/>
    <w:rsid w:val="4D884E31"/>
    <w:rsid w:val="4DBF1A26"/>
    <w:rsid w:val="4E695898"/>
    <w:rsid w:val="4E90130A"/>
    <w:rsid w:val="4EB15812"/>
    <w:rsid w:val="4F111E0D"/>
    <w:rsid w:val="4F5F39D1"/>
    <w:rsid w:val="503907BB"/>
    <w:rsid w:val="503A79FD"/>
    <w:rsid w:val="51CD2C93"/>
    <w:rsid w:val="52636FF0"/>
    <w:rsid w:val="52914DE0"/>
    <w:rsid w:val="533B1509"/>
    <w:rsid w:val="53784B50"/>
    <w:rsid w:val="541458DC"/>
    <w:rsid w:val="555B2034"/>
    <w:rsid w:val="55752698"/>
    <w:rsid w:val="55893228"/>
    <w:rsid w:val="564071E3"/>
    <w:rsid w:val="56FC08C8"/>
    <w:rsid w:val="58240186"/>
    <w:rsid w:val="58251034"/>
    <w:rsid w:val="584E1AA4"/>
    <w:rsid w:val="58C542D7"/>
    <w:rsid w:val="58FD34C7"/>
    <w:rsid w:val="599D57E4"/>
    <w:rsid w:val="5DB2770A"/>
    <w:rsid w:val="5DEB5A69"/>
    <w:rsid w:val="5E104691"/>
    <w:rsid w:val="5E37718A"/>
    <w:rsid w:val="610934B9"/>
    <w:rsid w:val="62FA10DE"/>
    <w:rsid w:val="63835AB1"/>
    <w:rsid w:val="64A33EBC"/>
    <w:rsid w:val="64C4468B"/>
    <w:rsid w:val="678975E0"/>
    <w:rsid w:val="67E372A4"/>
    <w:rsid w:val="68124217"/>
    <w:rsid w:val="691C6DC5"/>
    <w:rsid w:val="692B09B6"/>
    <w:rsid w:val="6AE17565"/>
    <w:rsid w:val="6D0E5C03"/>
    <w:rsid w:val="6E07266C"/>
    <w:rsid w:val="72984932"/>
    <w:rsid w:val="72E00DBC"/>
    <w:rsid w:val="73E56B14"/>
    <w:rsid w:val="742B7ECE"/>
    <w:rsid w:val="745A00F7"/>
    <w:rsid w:val="754A124E"/>
    <w:rsid w:val="76B5487D"/>
    <w:rsid w:val="77257D4A"/>
    <w:rsid w:val="77A13DC6"/>
    <w:rsid w:val="77CE0783"/>
    <w:rsid w:val="780600CD"/>
    <w:rsid w:val="79D2552E"/>
    <w:rsid w:val="7A274C59"/>
    <w:rsid w:val="7ADA6E1B"/>
    <w:rsid w:val="7AF617C6"/>
    <w:rsid w:val="7B373932"/>
    <w:rsid w:val="7B7B13B5"/>
    <w:rsid w:val="7C50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1397</Words>
  <Characters>1425</Characters>
  <Lines>0</Lines>
  <Paragraphs>0</Paragraphs>
  <TotalTime>1</TotalTime>
  <ScaleCrop>false</ScaleCrop>
  <LinksUpToDate>false</LinksUpToDate>
  <CharactersWithSpaces>1426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2020-09-29T13:33:00Z</dcterms:created>
  <dc:creator>zprjh</dc:creator>
  <cp:lastModifiedBy>PCY</cp:lastModifiedBy>
  <cp:lastPrinted>2025-10-22T07:21:00Z</cp:lastPrinted>
  <dcterms:modified xsi:type="dcterms:W3CDTF">2026-07-20T08:47:45Z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F81907B588974A848B308CA52B719255_13</vt:lpwstr>
  </property>
  <property fmtid="{D5CDD505-2E9C-101B-9397-08002B2CF9AE}" pid="4" name="KSOTemplateDocerSaveRecord">
    <vt:lpwstr>eyJoZGlkIjoiNzA3NzdlMTJiM2Y5ZTM5OTdkYjY5OWRhMDNjZGU2NzciLCJ1c2VySWQiOiI2MDkxMjEyOTcifQ==</vt:lpwstr>
  </property>
</Properties>
</file>