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outlineLvl w:val="0"/>
        <w:rPr>
          <w:rFonts w:ascii="黑体" w:hAnsi="黑体" w:eastAsia="黑体"/>
          <w:sz w:val="32"/>
          <w:szCs w:val="32"/>
        </w:rPr>
      </w:pPr>
      <w:bookmarkStart w:id="0" w:name="_GoBack"/>
      <w:r>
        <w:rPr>
          <w:rFonts w:hint="eastAsia" w:ascii="黑体" w:hAnsi="黑体" w:eastAsia="黑体"/>
          <w:sz w:val="32"/>
          <w:szCs w:val="32"/>
        </w:rPr>
        <w:t>附件1</w:t>
      </w:r>
    </w:p>
    <w:p>
      <w:pPr>
        <w:spacing w:line="220" w:lineRule="atLeast"/>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本次检验项目</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hAnsi="黑体" w:eastAsia="黑体" w:cs="黑体"/>
          <w:b/>
          <w:sz w:val="32"/>
          <w:szCs w:val="32"/>
          <w:lang w:eastAsia="zh-CN"/>
        </w:rPr>
        <w:t>炒货食品及坚果制品</w:t>
      </w:r>
    </w:p>
    <w:p>
      <w:pPr>
        <w:numPr>
          <w:ilvl w:val="0"/>
          <w:numId w:val="2"/>
        </w:numPr>
        <w:spacing w:line="640" w:lineRule="exact"/>
        <w:ind w:firstLine="482" w:firstLineChars="150"/>
        <w:outlineLvl w:val="1"/>
        <w:rPr>
          <w:rFonts w:hint="eastAsia" w:ascii="楷体" w:hAnsi="楷体" w:eastAsia="楷体"/>
          <w:b/>
          <w:sz w:val="32"/>
          <w:szCs w:val="32"/>
        </w:rPr>
      </w:pPr>
      <w:r>
        <w:rPr>
          <w:rFonts w:hint="eastAsia" w:ascii="楷体" w:hAnsi="楷体" w:eastAsia="楷体"/>
          <w:b/>
          <w:sz w:val="32"/>
          <w:szCs w:val="32"/>
        </w:rPr>
        <w:t>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w:t>
      </w:r>
      <w:r>
        <w:rPr>
          <w:rFonts w:hint="eastAsia" w:ascii="仿宋_GB2312" w:hAnsi="黑体" w:eastAsia="仿宋_GB2312"/>
          <w:sz w:val="32"/>
          <w:szCs w:val="32"/>
          <w:lang w:eastAsia="zh-CN"/>
        </w:rPr>
        <w:t>是</w:t>
      </w:r>
      <w:r>
        <w:rPr>
          <w:rFonts w:hint="eastAsia" w:ascii="仿宋_GB2312" w:hAnsi="黑体" w:eastAsia="仿宋_GB2312"/>
          <w:sz w:val="32"/>
          <w:szCs w:val="32"/>
        </w:rPr>
        <w:t>GB 19300-2014《食品安全国家标准坚果与籽类食品》、GB 2761-2017《食品安全国家标准食品中真菌毒素限量》</w:t>
      </w:r>
      <w:r>
        <w:rPr>
          <w:rFonts w:hint="eastAsia" w:ascii="仿宋_GB2312" w:hAnsi="黑体" w:eastAsia="仿宋_GB2312"/>
          <w:color w:val="auto"/>
          <w:sz w:val="32"/>
          <w:szCs w:val="32"/>
        </w:rPr>
        <w:t>。</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1.  </w:t>
      </w:r>
      <w:r>
        <w:rPr>
          <w:rFonts w:hint="default" w:ascii="仿宋_GB2312" w:hAnsi="黑体" w:eastAsia="仿宋_GB2312"/>
          <w:sz w:val="32"/>
          <w:szCs w:val="32"/>
          <w:lang w:val="en-US" w:eastAsia="zh-CN"/>
        </w:rPr>
        <w:t>开心果、杏仁、扁桃仁、松仁、瓜子的抽检项目包括过氧化值(以脂肪计)</w:t>
      </w:r>
      <w:r>
        <w:rPr>
          <w:rFonts w:hint="eastAsia" w:ascii="仿宋_GB2312" w:hAnsi="黑体" w:eastAsia="仿宋_GB2312"/>
          <w:sz w:val="32"/>
          <w:szCs w:val="32"/>
          <w:lang w:val="en-US" w:eastAsia="zh-CN"/>
        </w:rPr>
        <w:t>、黄曲霉毒素B₁、酸价(以脂肪计)(KOH)。</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淀粉及淀粉制品</w:t>
      </w:r>
    </w:p>
    <w:p>
      <w:pPr>
        <w:numPr>
          <w:ilvl w:val="0"/>
          <w:numId w:val="0"/>
        </w:numPr>
        <w:spacing w:line="640" w:lineRule="exact"/>
        <w:ind w:firstLine="643" w:firstLineChars="200"/>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2760-2014《食品安全国家标准食品添加剂使用标准》、GB 2762-2017《食品安全国家标准食品中污染物限量》、产品明示标准和质量要求。</w:t>
      </w:r>
    </w:p>
    <w:p>
      <w:pPr>
        <w:numPr>
          <w:ilvl w:val="0"/>
          <w:numId w:val="2"/>
        </w:numPr>
        <w:spacing w:line="640" w:lineRule="exact"/>
        <w:ind w:left="0" w:leftChars="0" w:firstLine="482" w:firstLineChars="150"/>
        <w:outlineLvl w:val="1"/>
        <w:rPr>
          <w:rFonts w:hint="eastAsia" w:ascii="楷体" w:hAnsi="楷体" w:eastAsia="楷体"/>
          <w:b/>
          <w:sz w:val="32"/>
          <w:szCs w:val="32"/>
        </w:rPr>
      </w:pPr>
      <w:r>
        <w:rPr>
          <w:rFonts w:hint="eastAsia" w:ascii="楷体" w:hAnsi="楷体" w:eastAsia="楷体"/>
          <w:b/>
          <w:sz w:val="32"/>
          <w:szCs w:val="32"/>
        </w:rPr>
        <w:t>检验项目</w:t>
      </w:r>
    </w:p>
    <w:p>
      <w:pPr>
        <w:numPr>
          <w:ilvl w:val="0"/>
          <w:numId w:val="3"/>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粉丝粉条的抽检项目包括铝的残留量(干样品,以Al计)、铅(以Pb计)。</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酒类</w:t>
      </w:r>
    </w:p>
    <w:p>
      <w:pPr>
        <w:numPr>
          <w:ilvl w:val="0"/>
          <w:numId w:val="4"/>
        </w:numPr>
        <w:spacing w:line="640" w:lineRule="exact"/>
        <w:ind w:firstLine="643" w:firstLineChars="200"/>
        <w:outlineLvl w:val="1"/>
        <w:rPr>
          <w:rFonts w:hint="eastAsia" w:ascii="楷体" w:hAnsi="楷体" w:eastAsia="楷体"/>
          <w:b/>
          <w:sz w:val="32"/>
          <w:szCs w:val="32"/>
        </w:rPr>
      </w:pPr>
      <w:r>
        <w:rPr>
          <w:rFonts w:hint="eastAsia" w:ascii="楷体" w:hAnsi="楷体" w:eastAsia="楷体"/>
          <w:b/>
          <w:sz w:val="32"/>
          <w:szCs w:val="32"/>
        </w:rPr>
        <w:t>抽检依据</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2757-2012《食品安全国家标准蒸馏酒及其配制酒》、GB 2760-2011《食品安全国家标准食品添加剂使用标准》。</w:t>
      </w:r>
    </w:p>
    <w:p>
      <w:pPr>
        <w:numPr>
          <w:ilvl w:val="0"/>
          <w:numId w:val="4"/>
        </w:numPr>
        <w:spacing w:line="640" w:lineRule="exact"/>
        <w:ind w:firstLine="643" w:firstLineChars="200"/>
        <w:outlineLvl w:val="1"/>
        <w:rPr>
          <w:rFonts w:hint="eastAsia" w:ascii="楷体" w:hAnsi="楷体" w:eastAsia="楷体"/>
          <w:b/>
          <w:sz w:val="32"/>
          <w:szCs w:val="32"/>
        </w:rPr>
      </w:pPr>
      <w:r>
        <w:rPr>
          <w:rFonts w:hint="eastAsia" w:ascii="楷体" w:hAnsi="楷体" w:eastAsia="楷体"/>
          <w:b/>
          <w:sz w:val="32"/>
          <w:szCs w:val="32"/>
          <w:lang w:eastAsia="zh-CN"/>
        </w:rPr>
        <w:t>检验项目</w:t>
      </w:r>
    </w:p>
    <w:p>
      <w:pPr>
        <w:numPr>
          <w:ilvl w:val="0"/>
          <w:numId w:val="5"/>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白酒、白酒(液态)、白酒(原酒)的抽检项目包括甲醇(按100%酒精度折算)、氰化物(以HCN计)(按100%酒精度折算)、甜蜜素(以环己基氨基磺酸计)。       </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肉制品</w:t>
      </w:r>
    </w:p>
    <w:p>
      <w:pPr>
        <w:numPr>
          <w:ilvl w:val="0"/>
          <w:numId w:val="6"/>
        </w:numPr>
        <w:spacing w:line="640" w:lineRule="exact"/>
        <w:ind w:firstLine="643" w:firstLineChars="200"/>
        <w:outlineLvl w:val="1"/>
        <w:rPr>
          <w:rFonts w:hint="eastAsia" w:ascii="楷体" w:hAnsi="楷体" w:eastAsia="楷体"/>
          <w:b/>
          <w:sz w:val="32"/>
          <w:szCs w:val="32"/>
        </w:rPr>
      </w:pPr>
      <w:r>
        <w:rPr>
          <w:rFonts w:hint="eastAsia" w:ascii="楷体" w:hAnsi="楷体" w:eastAsia="楷体"/>
          <w:b/>
          <w:sz w:val="32"/>
          <w:szCs w:val="32"/>
        </w:rPr>
        <w:t>抽检依据</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2730-2015《食品安全国家标准腌腊肉制品》、GB 2760-2014《食品安全国家标准食品添加剂使用标准》、GB 2762-2017《食品安全国家标准食品中污染物限量》。</w:t>
      </w:r>
    </w:p>
    <w:p>
      <w:pPr>
        <w:numPr>
          <w:ilvl w:val="0"/>
          <w:numId w:val="6"/>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检验项目</w:t>
      </w:r>
    </w:p>
    <w:p>
      <w:pPr>
        <w:numPr>
          <w:ilvl w:val="0"/>
          <w:numId w:val="7"/>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食用血制品的抽检项目包括苯甲酸及其钠盐(以苯甲酸计)、山梨酸及其钾盐(以山梨酸计)、亚硝酸盐(以亚硝酸钠计)；</w:t>
      </w:r>
    </w:p>
    <w:p>
      <w:pPr>
        <w:numPr>
          <w:ilvl w:val="0"/>
          <w:numId w:val="7"/>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腌腊肉制品的抽检项目包括过氧化值(以脂肪计)、亚硝酸盐(以亚硝酸钠计)、总砷(以As计)。</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食用农产品</w:t>
      </w:r>
    </w:p>
    <w:p>
      <w:pPr>
        <w:numPr>
          <w:ilvl w:val="0"/>
          <w:numId w:val="8"/>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22556-2008《豆芽卫生标准》、GB 2760-2014《食品安全国家标准食品添加剂使用标准》、GB 2762-2017《食品安全国家标准食品中污染物限量》、GB 2763-2021《食品安全国家标准食品中农药最大残留限量》、GB 31650-2019《食品安全国家标准食品中兽药最大残留限量》、国家市场监督管理总局农业部国家卫生和计划生育委员会关于豆芽生产过程中禁止使用6-苄基腺嘌呤等物质的公告(2015 年第 11 号)。</w:t>
      </w:r>
    </w:p>
    <w:p>
      <w:pPr>
        <w:numPr>
          <w:ilvl w:val="0"/>
          <w:numId w:val="8"/>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检验项目</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大白菜的抽检项目包括毒死蜱、克百威、氧乐果；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豆芽的抽检项目包括4-氯苯氧乙酸钠(以4-氯苯氧乙酸计)、6-苄基腺嘌呤(6-BA)、亚硫酸盐(以SO₂计)、总汞(以Hg计)；</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柑、橘的抽检项目包括苯醚甲环唑、丙溴磷、氧乐果；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花椰菜的抽检项目包括甲胺磷、克百威、氧乐果；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鸡蛋的抽检项目包括地美硝唑、氟虫腈、甲硝唑；</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姜的抽检项目包括吡虫啉、氯氟氰菊酯和高效氯氟氰菊酯、氯氰菊酯和高效氯氰菊酯、噻虫胺、噻虫嗪；</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豇豆的抽检项目包括克百威、灭蝇胺、氧乐果、乙酰甲胺磷；</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韭菜的抽检项目包括啶虫脒、毒死蜱、腐霉利、氯氟氰菊酯和高效氯氟氰菊酯、水胺硫磷、氧乐果；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辣椒的抽检项目包括毒死蜱、克百威、联苯菊酯、氯氟氰菊酯和高效氯氟氰菊酯、氧乐果；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普通白菜的抽检项目包括啶虫脒、毒死蜱、克百威、氧乐果；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芹菜的抽检项目包括毒死蜱、甲拌磷、克百威、水胺硫磷、氧乐果；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蒜薹的抽检项目包括甲拌磷、水胺硫磷、氧乐果；</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樱桃番茄的抽检项目包括敌敌畏、毒死蜱、多菌灵等；</w:t>
      </w:r>
    </w:p>
    <w:p>
      <w:pPr>
        <w:numPr>
          <w:ilvl w:val="0"/>
          <w:numId w:val="9"/>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枣的抽检项目包括氰戊菊酯和S-氰戊菊酯、糖精钠(以糖精计)、氧乐果。</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速冻食品</w:t>
      </w:r>
    </w:p>
    <w:p>
      <w:pPr>
        <w:numPr>
          <w:ilvl w:val="0"/>
          <w:numId w:val="10"/>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19295-2021《食品安全国家标准速冻面米与调制食品》、GB 2760-2014《食品安全国家标准食品添加剂使用标准》、GB 2762-2017《食品安全国家标准食品中污染物限量》。</w:t>
      </w:r>
    </w:p>
    <w:p>
      <w:pPr>
        <w:numPr>
          <w:ilvl w:val="0"/>
          <w:numId w:val="10"/>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检验项目</w:t>
      </w:r>
    </w:p>
    <w:p>
      <w:pPr>
        <w:numPr>
          <w:ilvl w:val="0"/>
          <w:numId w:val="11"/>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速冻面米生制品的抽检项目包括过氧化值(以脂肪计)、铅(以Pb计)、糖精钠(以糖精计)。</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糖果制品</w:t>
      </w:r>
    </w:p>
    <w:p>
      <w:pPr>
        <w:numPr>
          <w:ilvl w:val="0"/>
          <w:numId w:val="12"/>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2760-2014《食品安全国家标准食品添加剂使用标准》、GB 2762-2017《食品安全国家标准食品中污染物限量》。</w:t>
      </w:r>
    </w:p>
    <w:p>
      <w:pPr>
        <w:numPr>
          <w:ilvl w:val="0"/>
          <w:numId w:val="12"/>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检验项目</w:t>
      </w:r>
    </w:p>
    <w:p>
      <w:pPr>
        <w:numPr>
          <w:ilvl w:val="0"/>
          <w:numId w:val="13"/>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糖果的抽检项目包括铅(以Pb计)、糖精钠(以糖精计)。</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调味品</w:t>
      </w:r>
    </w:p>
    <w:p>
      <w:pPr>
        <w:numPr>
          <w:ilvl w:val="0"/>
          <w:numId w:val="14"/>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spacing w:line="640" w:lineRule="exact"/>
        <w:ind w:firstLine="640" w:firstLineChars="200"/>
        <w:rPr>
          <w:rFonts w:hint="eastAsia" w:ascii="楷体" w:hAnsi="楷体" w:eastAsia="楷体" w:cstheme="minorBidi"/>
          <w:b/>
          <w:sz w:val="32"/>
          <w:szCs w:val="32"/>
          <w:lang w:val="en-US" w:eastAsia="zh-CN" w:bidi="ar-SA"/>
        </w:rPr>
      </w:pPr>
      <w:r>
        <w:rPr>
          <w:rFonts w:hint="eastAsia" w:ascii="仿宋_GB2312" w:hAnsi="黑体" w:eastAsia="仿宋_GB2312"/>
          <w:sz w:val="32"/>
          <w:szCs w:val="32"/>
          <w:lang w:val="en-US" w:eastAsia="zh-CN"/>
        </w:rPr>
        <w:t>抽检依据是GB 2760-2014《食品安全国家标准食品添加剂使用标准》。</w:t>
      </w:r>
    </w:p>
    <w:p>
      <w:pPr>
        <w:numPr>
          <w:ilvl w:val="0"/>
          <w:numId w:val="14"/>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检验项目</w:t>
      </w:r>
    </w:p>
    <w:p>
      <w:pPr>
        <w:numPr>
          <w:ilvl w:val="0"/>
          <w:numId w:val="0"/>
        </w:numPr>
        <w:spacing w:line="640" w:lineRule="exact"/>
        <w:rPr>
          <w:rFonts w:hint="eastAsia" w:ascii="楷体" w:hAnsi="楷体" w:eastAsia="楷体" w:cstheme="minorBidi"/>
          <w:b/>
          <w:sz w:val="32"/>
          <w:szCs w:val="32"/>
          <w:lang w:val="en-US" w:eastAsia="zh-CN" w:bidi="ar-SA"/>
        </w:rPr>
      </w:pPr>
      <w:r>
        <w:rPr>
          <w:rFonts w:hint="eastAsia" w:ascii="仿宋_GB2312" w:hAnsi="黑体" w:eastAsia="仿宋_GB2312"/>
          <w:sz w:val="32"/>
          <w:szCs w:val="32"/>
          <w:lang w:val="en-US" w:eastAsia="zh-CN"/>
        </w:rPr>
        <w:t xml:space="preserve">    1.  火锅底料、麻辣烫底料的抽检项目包括苯甲酸及其钠盐(以苯甲酸计)、山梨酸及其钾盐(以山梨酸计)、脱氢乙酸及其钠盐(以脱氢乙酸计)。</w:t>
      </w:r>
    </w:p>
    <w:p>
      <w:pPr>
        <w:widowControl/>
        <w:numPr>
          <w:ilvl w:val="0"/>
          <w:numId w:val="1"/>
        </w:numPr>
        <w:adjustRightInd w:val="0"/>
        <w:snapToGrid w:val="0"/>
        <w:spacing w:after="200" w:line="640" w:lineRule="exact"/>
        <w:ind w:left="0" w:leftChars="0" w:firstLine="420" w:firstLineChars="0"/>
        <w:jc w:val="both"/>
        <w:outlineLvl w:val="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粮食加工品</w:t>
      </w:r>
    </w:p>
    <w:p>
      <w:pPr>
        <w:numPr>
          <w:ilvl w:val="0"/>
          <w:numId w:val="15"/>
        </w:numPr>
        <w:spacing w:line="640" w:lineRule="exact"/>
        <w:ind w:firstLine="643" w:firstLineChars="200"/>
        <w:outlineLvl w:val="1"/>
        <w:rPr>
          <w:rFonts w:hint="eastAsia"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抽检依据</w:t>
      </w:r>
    </w:p>
    <w:p>
      <w:pPr>
        <w:spacing w:line="640" w:lineRule="exact"/>
        <w:ind w:firstLine="640" w:firstLineChars="200"/>
        <w:rPr>
          <w:rFonts w:hint="eastAsia" w:ascii="楷体" w:hAnsi="楷体" w:eastAsia="楷体" w:cstheme="minorBidi"/>
          <w:b/>
          <w:sz w:val="32"/>
          <w:szCs w:val="32"/>
          <w:lang w:val="en-US" w:eastAsia="zh-CN" w:bidi="ar-SA"/>
        </w:rPr>
      </w:pPr>
      <w:r>
        <w:rPr>
          <w:rFonts w:hint="eastAsia" w:ascii="仿宋_GB2312" w:hAnsi="黑体" w:eastAsia="仿宋_GB2312"/>
          <w:sz w:val="32"/>
          <w:szCs w:val="32"/>
          <w:lang w:val="en-US" w:eastAsia="zh-CN"/>
        </w:rPr>
        <w:t>抽检依据是GB 2760-2014《食品安全国家标准食品添加剂使用标准》、GB 2761-2017《食品安全国家标准食品中真菌毒素限量》、GB 2762-2017《食品安全国家标准食品中污染物限量》。</w:t>
      </w:r>
    </w:p>
    <w:p>
      <w:pPr>
        <w:numPr>
          <w:ilvl w:val="0"/>
          <w:numId w:val="15"/>
        </w:numPr>
        <w:spacing w:line="640" w:lineRule="exact"/>
        <w:ind w:firstLine="643" w:firstLineChars="200"/>
        <w:outlineLvl w:val="1"/>
        <w:rPr>
          <w:rFonts w:hint="default" w:ascii="楷体" w:hAnsi="楷体" w:eastAsia="楷体" w:cstheme="minorBidi"/>
          <w:b/>
          <w:sz w:val="32"/>
          <w:szCs w:val="32"/>
          <w:lang w:val="en-US" w:eastAsia="zh-CN" w:bidi="ar-SA"/>
        </w:rPr>
      </w:pPr>
      <w:r>
        <w:rPr>
          <w:rFonts w:hint="eastAsia" w:ascii="楷体" w:hAnsi="楷体" w:eastAsia="楷体" w:cstheme="minorBidi"/>
          <w:b/>
          <w:sz w:val="32"/>
          <w:szCs w:val="32"/>
          <w:lang w:val="en-US" w:eastAsia="zh-CN" w:bidi="ar-SA"/>
        </w:rPr>
        <w:t>检验项目</w:t>
      </w:r>
    </w:p>
    <w:p>
      <w:pPr>
        <w:numPr>
          <w:ilvl w:val="0"/>
          <w:numId w:val="16"/>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大米的抽检项目包括镉(以Cd计)、黄曲霉毒素B₁、铅(以Pb计)；</w:t>
      </w:r>
    </w:p>
    <w:p>
      <w:pPr>
        <w:numPr>
          <w:ilvl w:val="0"/>
          <w:numId w:val="16"/>
        </w:numPr>
        <w:spacing w:line="6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生湿面制品的抽检项目包括苯甲酸及其钠盐(以苯甲酸计)、山梨酸及其钾盐(以山梨酸计)、脱氢乙酸及其钠盐(以脱氢乙酸计)。</w:t>
      </w:r>
    </w:p>
    <w:bookmarkEnd w:id="0"/>
    <w:p>
      <w:pPr>
        <w:numPr>
          <w:ilvl w:val="0"/>
          <w:numId w:val="0"/>
        </w:numPr>
        <w:adjustRightInd w:val="0"/>
        <w:snapToGrid w:val="0"/>
        <w:spacing w:after="200" w:line="640" w:lineRule="exact"/>
        <w:outlineLvl w:val="1"/>
        <w:rPr>
          <w:rFonts w:hint="default" w:ascii="楷体" w:hAnsi="楷体" w:eastAsia="楷体" w:cstheme="minorBidi"/>
          <w:b/>
          <w:sz w:val="32"/>
          <w:szCs w:val="32"/>
          <w:lang w:val="en-US" w:eastAsia="zh-CN" w:bidi="ar-SA"/>
        </w:rPr>
      </w:pPr>
    </w:p>
    <w:p>
      <w:pPr>
        <w:widowControl/>
        <w:numPr>
          <w:ilvl w:val="0"/>
          <w:numId w:val="0"/>
        </w:numPr>
        <w:adjustRightInd w:val="0"/>
        <w:snapToGrid w:val="0"/>
        <w:spacing w:after="200" w:line="640" w:lineRule="exact"/>
        <w:jc w:val="both"/>
        <w:outlineLvl w:val="0"/>
        <w:rPr>
          <w:rFonts w:hint="eastAsia" w:ascii="黑体" w:hAnsi="黑体" w:eastAsia="黑体" w:cs="黑体"/>
          <w:kern w:val="0"/>
          <w:sz w:val="32"/>
          <w:szCs w:val="32"/>
          <w:lang w:val="en-US" w:eastAsia="zh-CN" w:bidi="ar-SA"/>
        </w:rPr>
      </w:pPr>
    </w:p>
    <w:p>
      <w:pPr>
        <w:widowControl/>
        <w:numPr>
          <w:ilvl w:val="0"/>
          <w:numId w:val="0"/>
        </w:numPr>
        <w:adjustRightInd w:val="0"/>
        <w:snapToGrid w:val="0"/>
        <w:spacing w:after="200" w:line="640" w:lineRule="exact"/>
        <w:ind w:left="420" w:leftChars="0"/>
        <w:jc w:val="both"/>
        <w:outlineLvl w:val="0"/>
        <w:rPr>
          <w:rFonts w:hint="eastAsia" w:ascii="黑体" w:hAnsi="黑体" w:eastAsia="黑体" w:cs="黑体"/>
          <w:kern w:val="0"/>
          <w:sz w:val="32"/>
          <w:szCs w:val="32"/>
          <w:lang w:val="en-US" w:eastAsia="zh-CN" w:bidi="ar-SA"/>
        </w:rPr>
      </w:pPr>
    </w:p>
    <w:p>
      <w:pPr>
        <w:widowControl/>
        <w:numPr>
          <w:ilvl w:val="0"/>
          <w:numId w:val="0"/>
        </w:numPr>
        <w:adjustRightInd w:val="0"/>
        <w:snapToGrid w:val="0"/>
        <w:spacing w:after="200" w:line="640" w:lineRule="exact"/>
        <w:ind w:left="420" w:leftChars="0"/>
        <w:jc w:val="both"/>
        <w:outlineLvl w:val="0"/>
        <w:rPr>
          <w:rFonts w:hint="eastAsia" w:ascii="仿宋_GB2312" w:hAnsi="黑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985E6"/>
    <w:multiLevelType w:val="singleLevel"/>
    <w:tmpl w:val="81B985E6"/>
    <w:lvl w:ilvl="0" w:tentative="0">
      <w:start w:val="1"/>
      <w:numFmt w:val="decimal"/>
      <w:suff w:val="space"/>
      <w:lvlText w:val="%1."/>
      <w:lvlJc w:val="left"/>
    </w:lvl>
  </w:abstractNum>
  <w:abstractNum w:abstractNumId="1">
    <w:nsid w:val="8CFA0E7F"/>
    <w:multiLevelType w:val="singleLevel"/>
    <w:tmpl w:val="8CFA0E7F"/>
    <w:lvl w:ilvl="0" w:tentative="0">
      <w:start w:val="1"/>
      <w:numFmt w:val="decimal"/>
      <w:lvlText w:val="%1."/>
      <w:lvlJc w:val="left"/>
      <w:pPr>
        <w:tabs>
          <w:tab w:val="left" w:pos="312"/>
        </w:tabs>
      </w:pPr>
    </w:lvl>
  </w:abstractNum>
  <w:abstractNum w:abstractNumId="2">
    <w:nsid w:val="8FBFA806"/>
    <w:multiLevelType w:val="singleLevel"/>
    <w:tmpl w:val="8FBFA806"/>
    <w:lvl w:ilvl="0" w:tentative="0">
      <w:start w:val="1"/>
      <w:numFmt w:val="decimal"/>
      <w:lvlText w:val="%1."/>
      <w:lvlJc w:val="left"/>
      <w:pPr>
        <w:tabs>
          <w:tab w:val="left" w:pos="312"/>
        </w:tabs>
      </w:pPr>
    </w:lvl>
  </w:abstractNum>
  <w:abstractNum w:abstractNumId="3">
    <w:nsid w:val="A074EA80"/>
    <w:multiLevelType w:val="singleLevel"/>
    <w:tmpl w:val="A074EA80"/>
    <w:lvl w:ilvl="0" w:tentative="0">
      <w:start w:val="1"/>
      <w:numFmt w:val="chineseCounting"/>
      <w:suff w:val="nothing"/>
      <w:lvlText w:val="（%1）"/>
      <w:lvlJc w:val="left"/>
      <w:rPr>
        <w:rFonts w:hint="eastAsia"/>
      </w:rPr>
    </w:lvl>
  </w:abstractNum>
  <w:abstractNum w:abstractNumId="4">
    <w:nsid w:val="C1CBBFA9"/>
    <w:multiLevelType w:val="singleLevel"/>
    <w:tmpl w:val="C1CBBFA9"/>
    <w:lvl w:ilvl="0" w:tentative="0">
      <w:start w:val="1"/>
      <w:numFmt w:val="chineseCounting"/>
      <w:suff w:val="nothing"/>
      <w:lvlText w:val="（%1）"/>
      <w:lvlJc w:val="left"/>
      <w:rPr>
        <w:rFonts w:hint="eastAsia"/>
      </w:rPr>
    </w:lvl>
  </w:abstractNum>
  <w:abstractNum w:abstractNumId="5">
    <w:nsid w:val="D62794D7"/>
    <w:multiLevelType w:val="singleLevel"/>
    <w:tmpl w:val="D62794D7"/>
    <w:lvl w:ilvl="0" w:tentative="0">
      <w:start w:val="1"/>
      <w:numFmt w:val="chineseCounting"/>
      <w:suff w:val="nothing"/>
      <w:lvlText w:val="（%1）"/>
      <w:lvlJc w:val="left"/>
      <w:rPr>
        <w:rFonts w:hint="eastAsia"/>
      </w:rPr>
    </w:lvl>
  </w:abstractNum>
  <w:abstractNum w:abstractNumId="6">
    <w:nsid w:val="D6CCE9DB"/>
    <w:multiLevelType w:val="singleLevel"/>
    <w:tmpl w:val="D6CCE9DB"/>
    <w:lvl w:ilvl="0" w:tentative="0">
      <w:start w:val="1"/>
      <w:numFmt w:val="chineseCounting"/>
      <w:suff w:val="nothing"/>
      <w:lvlText w:val="（%1）"/>
      <w:lvlJc w:val="left"/>
      <w:rPr>
        <w:rFonts w:hint="eastAsia"/>
      </w:rPr>
    </w:lvl>
  </w:abstractNum>
  <w:abstractNum w:abstractNumId="7">
    <w:nsid w:val="E35AB7DC"/>
    <w:multiLevelType w:val="singleLevel"/>
    <w:tmpl w:val="E35AB7DC"/>
    <w:lvl w:ilvl="0" w:tentative="0">
      <w:start w:val="1"/>
      <w:numFmt w:val="chineseCounting"/>
      <w:suff w:val="nothing"/>
      <w:lvlText w:val="（%1）"/>
      <w:lvlJc w:val="left"/>
      <w:rPr>
        <w:rFonts w:hint="eastAsia"/>
      </w:rPr>
    </w:lvl>
  </w:abstractNum>
  <w:abstractNum w:abstractNumId="8">
    <w:nsid w:val="EA43B944"/>
    <w:multiLevelType w:val="singleLevel"/>
    <w:tmpl w:val="EA43B944"/>
    <w:lvl w:ilvl="0" w:tentative="0">
      <w:start w:val="1"/>
      <w:numFmt w:val="chineseCounting"/>
      <w:suff w:val="nothing"/>
      <w:lvlText w:val="（%1）"/>
      <w:lvlJc w:val="left"/>
      <w:rPr>
        <w:rFonts w:hint="eastAsia"/>
      </w:rPr>
    </w:lvl>
  </w:abstractNum>
  <w:abstractNum w:abstractNumId="9">
    <w:nsid w:val="EB4C1F6C"/>
    <w:multiLevelType w:val="singleLevel"/>
    <w:tmpl w:val="EB4C1F6C"/>
    <w:lvl w:ilvl="0" w:tentative="0">
      <w:start w:val="1"/>
      <w:numFmt w:val="chineseCounting"/>
      <w:suff w:val="nothing"/>
      <w:lvlText w:val="（%1）"/>
      <w:lvlJc w:val="left"/>
      <w:rPr>
        <w:rFonts w:hint="eastAsia"/>
      </w:rPr>
    </w:lvl>
  </w:abstractNum>
  <w:abstractNum w:abstractNumId="10">
    <w:nsid w:val="EE472484"/>
    <w:multiLevelType w:val="singleLevel"/>
    <w:tmpl w:val="EE472484"/>
    <w:lvl w:ilvl="0" w:tentative="0">
      <w:start w:val="1"/>
      <w:numFmt w:val="decimal"/>
      <w:suff w:val="space"/>
      <w:lvlText w:val="%1."/>
      <w:lvlJc w:val="left"/>
    </w:lvl>
  </w:abstractNum>
  <w:abstractNum w:abstractNumId="11">
    <w:nsid w:val="1F22E84D"/>
    <w:multiLevelType w:val="singleLevel"/>
    <w:tmpl w:val="1F22E84D"/>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12">
    <w:nsid w:val="23AB6FFE"/>
    <w:multiLevelType w:val="singleLevel"/>
    <w:tmpl w:val="23AB6FFE"/>
    <w:lvl w:ilvl="0" w:tentative="0">
      <w:start w:val="1"/>
      <w:numFmt w:val="decimal"/>
      <w:suff w:val="space"/>
      <w:lvlText w:val="%1."/>
      <w:lvlJc w:val="left"/>
    </w:lvl>
  </w:abstractNum>
  <w:abstractNum w:abstractNumId="13">
    <w:nsid w:val="2D1B4CBB"/>
    <w:multiLevelType w:val="singleLevel"/>
    <w:tmpl w:val="2D1B4CBB"/>
    <w:lvl w:ilvl="0" w:tentative="0">
      <w:start w:val="1"/>
      <w:numFmt w:val="chineseCounting"/>
      <w:suff w:val="nothing"/>
      <w:lvlText w:val="（%1）"/>
      <w:lvlJc w:val="left"/>
      <w:rPr>
        <w:rFonts w:hint="eastAsia"/>
      </w:rPr>
    </w:lvl>
  </w:abstractNum>
  <w:abstractNum w:abstractNumId="14">
    <w:nsid w:val="5B18C1D0"/>
    <w:multiLevelType w:val="singleLevel"/>
    <w:tmpl w:val="5B18C1D0"/>
    <w:lvl w:ilvl="0" w:tentative="0">
      <w:start w:val="1"/>
      <w:numFmt w:val="decimal"/>
      <w:suff w:val="space"/>
      <w:lvlText w:val="%1."/>
      <w:lvlJc w:val="left"/>
    </w:lvl>
  </w:abstractNum>
  <w:abstractNum w:abstractNumId="15">
    <w:nsid w:val="6E7D40CA"/>
    <w:multiLevelType w:val="singleLevel"/>
    <w:tmpl w:val="6E7D40CA"/>
    <w:lvl w:ilvl="0" w:tentative="0">
      <w:start w:val="1"/>
      <w:numFmt w:val="decimal"/>
      <w:lvlText w:val="%1."/>
      <w:lvlJc w:val="left"/>
      <w:pPr>
        <w:tabs>
          <w:tab w:val="left" w:pos="312"/>
        </w:tabs>
      </w:pPr>
    </w:lvl>
  </w:abstractNum>
  <w:num w:numId="1">
    <w:abstractNumId w:val="11"/>
  </w:num>
  <w:num w:numId="2">
    <w:abstractNumId w:val="9"/>
  </w:num>
  <w:num w:numId="3">
    <w:abstractNumId w:val="14"/>
  </w:num>
  <w:num w:numId="4">
    <w:abstractNumId w:val="6"/>
  </w:num>
  <w:num w:numId="5">
    <w:abstractNumId w:val="10"/>
  </w:num>
  <w:num w:numId="6">
    <w:abstractNumId w:val="13"/>
  </w:num>
  <w:num w:numId="7">
    <w:abstractNumId w:val="15"/>
  </w:num>
  <w:num w:numId="8">
    <w:abstractNumId w:val="8"/>
  </w:num>
  <w:num w:numId="9">
    <w:abstractNumId w:val="2"/>
  </w:num>
  <w:num w:numId="10">
    <w:abstractNumId w:val="5"/>
  </w:num>
  <w:num w:numId="11">
    <w:abstractNumId w:val="0"/>
  </w:num>
  <w:num w:numId="12">
    <w:abstractNumId w:val="7"/>
  </w:num>
  <w:num w:numId="13">
    <w:abstractNumId w:val="1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TFiNTUyZGYyMjRkNmFkZTEzMjVlZjBkYjIxMTcifQ=="/>
  </w:docVars>
  <w:rsids>
    <w:rsidRoot w:val="13ED2AE1"/>
    <w:rsid w:val="01256EF0"/>
    <w:rsid w:val="032640B7"/>
    <w:rsid w:val="04AF718C"/>
    <w:rsid w:val="04B403C6"/>
    <w:rsid w:val="0C053963"/>
    <w:rsid w:val="0EB3632D"/>
    <w:rsid w:val="13ED2AE1"/>
    <w:rsid w:val="148876BD"/>
    <w:rsid w:val="15033573"/>
    <w:rsid w:val="15F1120D"/>
    <w:rsid w:val="165434B0"/>
    <w:rsid w:val="1A3C145A"/>
    <w:rsid w:val="1FCB2529"/>
    <w:rsid w:val="2D0F6B01"/>
    <w:rsid w:val="2F4D3910"/>
    <w:rsid w:val="38301DBE"/>
    <w:rsid w:val="39361F1D"/>
    <w:rsid w:val="3CAA40B2"/>
    <w:rsid w:val="3CF163D1"/>
    <w:rsid w:val="3F431505"/>
    <w:rsid w:val="40A77CE0"/>
    <w:rsid w:val="4180507D"/>
    <w:rsid w:val="43D8736E"/>
    <w:rsid w:val="48A22238"/>
    <w:rsid w:val="4B681523"/>
    <w:rsid w:val="4B8D4B4A"/>
    <w:rsid w:val="4EB3122E"/>
    <w:rsid w:val="55322CF2"/>
    <w:rsid w:val="57160009"/>
    <w:rsid w:val="5E445DC2"/>
    <w:rsid w:val="5F435DA8"/>
    <w:rsid w:val="5F8B0A4F"/>
    <w:rsid w:val="65F36D5E"/>
    <w:rsid w:val="6D716F24"/>
    <w:rsid w:val="713118C3"/>
    <w:rsid w:val="763C2DF8"/>
    <w:rsid w:val="769B52B1"/>
    <w:rsid w:val="7DB5388B"/>
    <w:rsid w:val="7E227E4E"/>
    <w:rsid w:val="7E64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customStyle="1" w:styleId="11">
    <w:name w:val="标题 1 Char"/>
    <w:link w:val="2"/>
    <w:qFormat/>
    <w:uiPriority w:val="0"/>
    <w:rPr>
      <w:b/>
      <w:kern w:val="44"/>
      <w:sz w:val="44"/>
    </w:rPr>
  </w:style>
  <w:style w:type="character" w:customStyle="1" w:styleId="12">
    <w:name w:val="标题 2 Char"/>
    <w:link w:val="3"/>
    <w:qFormat/>
    <w:uiPriority w:val="0"/>
    <w:rPr>
      <w:rFonts w:ascii="Arial" w:hAnsi="Arial" w:eastAsia="黑体"/>
      <w:b/>
      <w:sz w:val="32"/>
    </w:rPr>
  </w:style>
  <w:style w:type="character" w:customStyle="1" w:styleId="13">
    <w:name w:val="标题 3 Char"/>
    <w:link w:val="4"/>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1665</Words>
  <Characters>1916</Characters>
  <Lines>0</Lines>
  <Paragraphs>0</Paragraphs>
  <TotalTime>27</TotalTime>
  <ScaleCrop>false</ScaleCrop>
  <LinksUpToDate>false</LinksUpToDate>
  <CharactersWithSpaces>1961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2022-03-28T05:07:00Z</dcterms:created>
  <dc:creator>laugh and grow fat</dc:creator>
  <cp:lastModifiedBy>後來</cp:lastModifiedBy>
  <dcterms:modified xsi:type="dcterms:W3CDTF">2023-02-24T06:50:30Z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D0424FA9621C41A9A79D92B3BD207AD6</vt:lpwstr>
  </property>
</Properties>
</file>