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8FF4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佛坪县202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年财政决算补充说明</w:t>
      </w:r>
    </w:p>
    <w:p w14:paraId="566BA078">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14:paraId="21308533">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佛坪县</w:t>
      </w:r>
      <w:r>
        <w:rPr>
          <w:rFonts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年转移支付执行情况说明</w:t>
      </w:r>
    </w:p>
    <w:p w14:paraId="07760E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、一般公共预算转移支付执行情况说明</w:t>
      </w:r>
    </w:p>
    <w:p w14:paraId="4F9F2A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年，省市下达我县转移支付资金</w:t>
      </w:r>
      <w:r>
        <w:rPr>
          <w:rFonts w:hint="eastAsia" w:ascii="仿宋_GB2312" w:hAnsi="仿宋_GB2312" w:eastAsia="仿宋_GB2312" w:cs="仿宋_GB2312"/>
          <w:sz w:val="32"/>
          <w:szCs w:val="32"/>
          <w:lang w:val="en-US" w:eastAsia="zh-CN"/>
        </w:rPr>
        <w:t>132096</w:t>
      </w:r>
      <w:r>
        <w:rPr>
          <w:rFonts w:hint="eastAsia" w:ascii="仿宋_GB2312" w:hAnsi="仿宋_GB2312" w:eastAsia="仿宋_GB2312" w:cs="仿宋_GB2312"/>
          <w:sz w:val="32"/>
          <w:szCs w:val="32"/>
        </w:rPr>
        <w:t>万元，其中返还性收入438万元，一般性转移支付</w:t>
      </w:r>
      <w:r>
        <w:rPr>
          <w:rFonts w:hint="eastAsia" w:ascii="仿宋_GB2312" w:hAnsi="仿宋_GB2312" w:eastAsia="仿宋_GB2312" w:cs="仿宋_GB2312"/>
          <w:sz w:val="32"/>
          <w:szCs w:val="32"/>
          <w:lang w:val="en-US" w:eastAsia="zh-CN"/>
        </w:rPr>
        <w:t>116313</w:t>
      </w:r>
      <w:r>
        <w:rPr>
          <w:rFonts w:hint="eastAsia" w:ascii="仿宋_GB2312" w:hAnsi="仿宋_GB2312" w:eastAsia="仿宋_GB2312" w:cs="仿宋_GB2312"/>
          <w:sz w:val="32"/>
          <w:szCs w:val="32"/>
        </w:rPr>
        <w:t>万元，专项转移支付</w:t>
      </w:r>
      <w:r>
        <w:rPr>
          <w:rFonts w:hint="eastAsia" w:ascii="仿宋_GB2312" w:hAnsi="仿宋_GB2312" w:eastAsia="仿宋_GB2312" w:cs="仿宋_GB2312"/>
          <w:sz w:val="32"/>
          <w:szCs w:val="32"/>
          <w:lang w:val="en-US" w:eastAsia="zh-CN"/>
        </w:rPr>
        <w:t>15345</w:t>
      </w:r>
      <w:r>
        <w:rPr>
          <w:rFonts w:hint="eastAsia" w:ascii="仿宋_GB2312" w:hAnsi="仿宋_GB2312" w:eastAsia="仿宋_GB2312" w:cs="仿宋_GB2312"/>
          <w:sz w:val="32"/>
          <w:szCs w:val="32"/>
        </w:rPr>
        <w:t>万元。一般性转移支付中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均衡性转移支付</w:t>
      </w:r>
      <w:r>
        <w:rPr>
          <w:rFonts w:hint="eastAsia" w:ascii="仿宋_GB2312" w:hAnsi="仿宋_GB2312" w:eastAsia="仿宋_GB2312" w:cs="仿宋_GB2312"/>
          <w:sz w:val="32"/>
          <w:szCs w:val="32"/>
          <w:lang w:val="en-US" w:eastAsia="zh-CN"/>
        </w:rPr>
        <w:t>收入33001</w:t>
      </w:r>
      <w:r>
        <w:rPr>
          <w:rFonts w:hint="eastAsia" w:ascii="仿宋_GB2312" w:hAnsi="仿宋_GB2312" w:eastAsia="仿宋_GB2312" w:cs="仿宋_GB2312"/>
          <w:sz w:val="32"/>
          <w:szCs w:val="32"/>
        </w:rPr>
        <w:t>万元，县级基本财力保障机制奖补资金收入</w:t>
      </w:r>
      <w:r>
        <w:rPr>
          <w:rFonts w:hint="eastAsia" w:ascii="仿宋_GB2312" w:hAnsi="仿宋_GB2312" w:eastAsia="仿宋_GB2312" w:cs="仿宋_GB2312"/>
          <w:sz w:val="32"/>
          <w:szCs w:val="32"/>
          <w:lang w:val="en-US" w:eastAsia="zh-CN"/>
        </w:rPr>
        <w:t>6,361万元，结算补助收入4,123万元，资源枯竭型城市转移支付补助收入137万元，重点</w:t>
      </w:r>
      <w:r>
        <w:rPr>
          <w:rFonts w:hint="eastAsia" w:ascii="仿宋_GB2312" w:hAnsi="仿宋_GB2312" w:eastAsia="仿宋_GB2312" w:cs="仿宋_GB2312"/>
          <w:sz w:val="32"/>
          <w:szCs w:val="32"/>
        </w:rPr>
        <w:t>生态功能区转移支付</w:t>
      </w:r>
      <w:r>
        <w:rPr>
          <w:rFonts w:hint="eastAsia" w:ascii="仿宋_GB2312" w:hAnsi="仿宋_GB2312" w:eastAsia="仿宋_GB2312" w:cs="仿宋_GB2312"/>
          <w:sz w:val="32"/>
          <w:szCs w:val="32"/>
          <w:lang w:val="en-US" w:eastAsia="zh-CN"/>
        </w:rPr>
        <w:t>收入7559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固定数额补助收入4,373万元，革命老区转移支付收入896万元，巩固脱贫攻坚成果衔接乡村振兴转移支付收入6,230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公共安全共同财政事权转移支付收入1,242万元，教育共同财政事权转移支付收入2,198万元，文化旅游体育与传媒共同财政事权转移支付收入933万元，社会保障和就业共同财政事权转移支付收入 3,724万元，医疗卫生共同财政事权转移支付收入1,102万元，节能环保共同财政事权转移支付收入195万元，农林水共同财政事权转移支付收入23,464万元，交通运输共同财政事权转移支付收入20,240万元，住房保障共同财政事权转移支付收入13万元，灾害防治及应急管理共同财政事权转移支付收入 259万元，增值税留抵退税转移支付收入196万元，其他退税减税降费转移支付收入 67万元</w:t>
      </w:r>
      <w:r>
        <w:rPr>
          <w:rFonts w:hint="eastAsia" w:ascii="仿宋_GB2312" w:hAnsi="仿宋_GB2312" w:eastAsia="仿宋_GB2312" w:cs="仿宋_GB2312"/>
          <w:sz w:val="32"/>
          <w:szCs w:val="32"/>
        </w:rPr>
        <w:t>。</w:t>
      </w:r>
    </w:p>
    <w:p w14:paraId="0EFD4F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县财政坚持财力向基层倾斜，进一步加大对镇级的转移支付力度，下达镇级转移支付资金</w:t>
      </w:r>
      <w:r>
        <w:rPr>
          <w:rFonts w:hint="eastAsia" w:ascii="仿宋_GB2312" w:hAnsi="仿宋_GB2312" w:eastAsia="仿宋_GB2312" w:cs="仿宋_GB2312"/>
          <w:sz w:val="32"/>
          <w:szCs w:val="32"/>
          <w:lang w:val="en-US" w:eastAsia="zh-CN"/>
        </w:rPr>
        <w:t>19068</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12419</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6649</w:t>
      </w:r>
      <w:r>
        <w:rPr>
          <w:rFonts w:hint="eastAsia" w:ascii="仿宋_GB2312" w:hAnsi="仿宋_GB2312" w:eastAsia="仿宋_GB2312" w:cs="仿宋_GB2312"/>
          <w:sz w:val="32"/>
          <w:szCs w:val="32"/>
        </w:rPr>
        <w:t>万元，其中：一般性转移支付</w:t>
      </w:r>
      <w:r>
        <w:rPr>
          <w:rFonts w:hint="eastAsia" w:ascii="仿宋_GB2312" w:hAnsi="仿宋_GB2312" w:eastAsia="仿宋_GB2312" w:cs="仿宋_GB2312"/>
          <w:sz w:val="32"/>
          <w:szCs w:val="32"/>
          <w:lang w:val="en-US" w:eastAsia="zh-CN"/>
        </w:rPr>
        <w:t>6967</w:t>
      </w:r>
      <w:r>
        <w:rPr>
          <w:rFonts w:hint="eastAsia" w:ascii="仿宋_GB2312" w:hAnsi="仿宋_GB2312" w:eastAsia="仿宋_GB2312" w:cs="仿宋_GB2312"/>
          <w:sz w:val="32"/>
          <w:szCs w:val="32"/>
        </w:rPr>
        <w:t>万元，专项转移支付</w:t>
      </w:r>
      <w:r>
        <w:rPr>
          <w:rFonts w:hint="eastAsia" w:ascii="仿宋_GB2312" w:hAnsi="仿宋_GB2312" w:eastAsia="仿宋_GB2312" w:cs="仿宋_GB2312"/>
          <w:sz w:val="32"/>
          <w:szCs w:val="32"/>
          <w:lang w:val="en-US" w:eastAsia="zh-CN"/>
        </w:rPr>
        <w:t>12101</w:t>
      </w:r>
      <w:r>
        <w:rPr>
          <w:rFonts w:hint="eastAsia" w:ascii="仿宋_GB2312" w:hAnsi="仿宋_GB2312" w:eastAsia="仿宋_GB2312" w:cs="仿宋_GB2312"/>
          <w:sz w:val="32"/>
          <w:szCs w:val="32"/>
        </w:rPr>
        <w:t>万元。</w:t>
      </w:r>
    </w:p>
    <w:p w14:paraId="378A28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、政府性基金转移支付执行情况说明</w:t>
      </w:r>
    </w:p>
    <w:p w14:paraId="7D5C0E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年上级下达我县政府性基金专项转移支付</w:t>
      </w:r>
      <w:r>
        <w:rPr>
          <w:rFonts w:hint="eastAsia" w:ascii="仿宋_GB2312" w:hAnsi="仿宋" w:eastAsia="仿宋_GB2312"/>
          <w:sz w:val="32"/>
          <w:szCs w:val="32"/>
          <w:lang w:val="en-US" w:eastAsia="zh-CN"/>
        </w:rPr>
        <w:t>877</w:t>
      </w:r>
      <w:r>
        <w:rPr>
          <w:rFonts w:hint="eastAsia" w:ascii="仿宋_GB2312" w:hAnsi="仿宋" w:eastAsia="仿宋_GB2312"/>
          <w:sz w:val="32"/>
          <w:szCs w:val="32"/>
        </w:rPr>
        <w:t>万元，主要用于大中型水库移民后期扶持支出及彩票公益金安排的支出。当年无对下转移支付。</w:t>
      </w:r>
    </w:p>
    <w:p w14:paraId="3ED2A0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、国有资本经营预算转移支付执行情况说明</w:t>
      </w:r>
    </w:p>
    <w:p w14:paraId="236283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年上级下达我县国有资本经营预算转移支付</w:t>
      </w:r>
      <w:r>
        <w:rPr>
          <w:rFonts w:hint="eastAsia" w:ascii="仿宋_GB2312" w:hAnsi="仿宋" w:eastAsia="仿宋_GB2312"/>
          <w:sz w:val="32"/>
          <w:szCs w:val="32"/>
          <w:lang w:val="en-US" w:eastAsia="zh-CN"/>
        </w:rPr>
        <w:t>3</w:t>
      </w:r>
      <w:r>
        <w:rPr>
          <w:rFonts w:hint="eastAsia" w:ascii="仿宋_GB2312" w:hAnsi="仿宋" w:eastAsia="仿宋_GB2312"/>
          <w:sz w:val="32"/>
          <w:szCs w:val="32"/>
        </w:rPr>
        <w:t>万元，主要用于其他国有资本经营预算支出，无对下转移支付。</w:t>
      </w:r>
    </w:p>
    <w:p w14:paraId="586A9331">
      <w:pPr>
        <w:rPr>
          <w:rFonts w:hint="eastAsia" w:ascii="仿宋_GB2312" w:hAnsi="仿宋" w:eastAsia="仿宋_GB2312"/>
          <w:sz w:val="32"/>
          <w:szCs w:val="32"/>
        </w:rPr>
      </w:pPr>
      <w:r>
        <w:rPr>
          <w:rFonts w:hint="eastAsia" w:ascii="仿宋_GB2312" w:hAnsi="仿宋" w:eastAsia="仿宋_GB2312"/>
          <w:sz w:val="32"/>
          <w:szCs w:val="32"/>
        </w:rPr>
        <w:br w:type="page"/>
      </w:r>
    </w:p>
    <w:p w14:paraId="0FEF0CFD">
      <w:pPr>
        <w:pStyle w:val="14"/>
      </w:pPr>
    </w:p>
    <w:p w14:paraId="0C7D57C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佛坪县202</w:t>
      </w:r>
      <w:r>
        <w:rPr>
          <w:rFonts w:hint="default" w:ascii="方正小标宋简体" w:hAnsi="方正小标宋简体" w:eastAsia="方正小标宋简体" w:cs="方正小标宋简体"/>
          <w:sz w:val="36"/>
          <w:szCs w:val="36"/>
        </w:rPr>
        <w:t>3</w:t>
      </w:r>
      <w:r>
        <w:rPr>
          <w:rFonts w:hint="eastAsia" w:ascii="方正小标宋简体" w:hAnsi="方正小标宋简体" w:eastAsia="方正小标宋简体" w:cs="方正小标宋简体"/>
          <w:sz w:val="36"/>
          <w:szCs w:val="36"/>
        </w:rPr>
        <w:t>年举借债务情况说明</w:t>
      </w:r>
    </w:p>
    <w:p w14:paraId="230543FF">
      <w:pPr>
        <w:pStyle w:val="14"/>
        <w:rPr>
          <w:rFonts w:hint="eastAsia"/>
        </w:rPr>
      </w:pPr>
    </w:p>
    <w:p w14:paraId="21249C38">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年初，我县政府债务余额</w:t>
      </w:r>
      <w:r>
        <w:rPr>
          <w:rFonts w:ascii="仿宋_GB2312" w:hAnsi="仿宋" w:eastAsia="仿宋_GB2312"/>
          <w:sz w:val="32"/>
          <w:szCs w:val="32"/>
        </w:rPr>
        <w:t>42272</w:t>
      </w:r>
      <w:r>
        <w:rPr>
          <w:rFonts w:hint="eastAsia" w:ascii="仿宋_GB2312" w:hAnsi="仿宋" w:eastAsia="仿宋_GB2312"/>
          <w:sz w:val="32"/>
          <w:szCs w:val="32"/>
        </w:rPr>
        <w:t>万元（其中：一般债务</w:t>
      </w:r>
      <w:r>
        <w:rPr>
          <w:rFonts w:ascii="仿宋_GB2312" w:hAnsi="仿宋" w:eastAsia="仿宋_GB2312"/>
          <w:sz w:val="32"/>
          <w:szCs w:val="32"/>
        </w:rPr>
        <w:t>24872</w:t>
      </w:r>
      <w:r>
        <w:rPr>
          <w:rFonts w:hint="eastAsia" w:ascii="仿宋_GB2312" w:hAnsi="仿宋" w:eastAsia="仿宋_GB2312"/>
          <w:sz w:val="32"/>
          <w:szCs w:val="32"/>
        </w:rPr>
        <w:t>万元，专项债务</w:t>
      </w:r>
      <w:r>
        <w:rPr>
          <w:rFonts w:ascii="仿宋_GB2312" w:hAnsi="仿宋" w:eastAsia="仿宋_GB2312"/>
          <w:sz w:val="32"/>
          <w:szCs w:val="32"/>
        </w:rPr>
        <w:t>17400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经市人大常委会批准，</w:t>
      </w:r>
      <w:r>
        <w:rPr>
          <w:rFonts w:hint="eastAsia" w:ascii="仿宋_GB2312" w:hAnsi="仿宋_GB2312" w:eastAsia="仿宋_GB2312" w:cs="仿宋_GB2312"/>
          <w:kern w:val="0"/>
          <w:sz w:val="32"/>
          <w:szCs w:val="32"/>
        </w:rPr>
        <w:t>市政府核定下达我县202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年地方政府债务限额</w:t>
      </w:r>
      <w:r>
        <w:rPr>
          <w:rFonts w:hint="eastAsia" w:ascii="仿宋_GB2312" w:hAnsi="仿宋_GB2312" w:eastAsia="仿宋_GB2312" w:cs="仿宋_GB2312"/>
          <w:kern w:val="0"/>
          <w:sz w:val="32"/>
          <w:szCs w:val="32"/>
          <w:lang w:val="en-US" w:eastAsia="zh-CN"/>
        </w:rPr>
        <w:t>53200</w:t>
      </w:r>
      <w:r>
        <w:rPr>
          <w:rFonts w:hint="eastAsia" w:ascii="仿宋_GB2312" w:hAnsi="仿宋_GB2312" w:eastAsia="仿宋_GB2312" w:cs="仿宋_GB2312"/>
          <w:kern w:val="0"/>
          <w:sz w:val="32"/>
          <w:szCs w:val="32"/>
        </w:rPr>
        <w:t>万元（其中一般债务限额</w:t>
      </w:r>
      <w:r>
        <w:rPr>
          <w:rFonts w:hint="eastAsia" w:ascii="仿宋_GB2312" w:hAnsi="仿宋_GB2312" w:eastAsia="仿宋_GB2312" w:cs="仿宋_GB2312"/>
          <w:kern w:val="0"/>
          <w:sz w:val="32"/>
          <w:szCs w:val="32"/>
          <w:lang w:val="en-US" w:eastAsia="zh-CN"/>
        </w:rPr>
        <w:t>32900</w:t>
      </w:r>
      <w:r>
        <w:rPr>
          <w:rFonts w:hint="eastAsia" w:ascii="仿宋_GB2312" w:hAnsi="仿宋_GB2312" w:eastAsia="仿宋_GB2312" w:cs="仿宋_GB2312"/>
          <w:kern w:val="0"/>
          <w:sz w:val="32"/>
          <w:szCs w:val="32"/>
        </w:rPr>
        <w:t>万元，专项债务限额</w:t>
      </w:r>
      <w:r>
        <w:rPr>
          <w:rFonts w:hint="eastAsia" w:ascii="仿宋_GB2312" w:hAnsi="仿宋_GB2312" w:eastAsia="仿宋_GB2312" w:cs="仿宋_GB2312"/>
          <w:kern w:val="0"/>
          <w:sz w:val="32"/>
          <w:szCs w:val="32"/>
          <w:lang w:val="en-US" w:eastAsia="zh-CN"/>
        </w:rPr>
        <w:t>20300</w:t>
      </w:r>
      <w:r>
        <w:rPr>
          <w:rFonts w:hint="eastAsia" w:ascii="仿宋_GB2312" w:hAnsi="仿宋_GB2312" w:eastAsia="仿宋_GB2312" w:cs="仿宋_GB2312"/>
          <w:kern w:val="0"/>
          <w:sz w:val="32"/>
          <w:szCs w:val="32"/>
        </w:rPr>
        <w:t>万元）</w:t>
      </w:r>
      <w:r>
        <w:rPr>
          <w:rFonts w:hint="eastAsia" w:ascii="仿宋_GB2312" w:hAnsi="仿宋" w:eastAsia="仿宋_GB2312"/>
          <w:sz w:val="32"/>
          <w:szCs w:val="32"/>
        </w:rPr>
        <w:t>。</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年市财政下达我县新增一般债券</w:t>
      </w:r>
      <w:r>
        <w:rPr>
          <w:rFonts w:hint="eastAsia" w:ascii="仿宋_GB2312" w:hAnsi="仿宋" w:eastAsia="仿宋_GB2312"/>
          <w:sz w:val="32"/>
          <w:szCs w:val="32"/>
          <w:lang w:val="en-US" w:eastAsia="zh-CN"/>
        </w:rPr>
        <w:t>6000</w:t>
      </w:r>
      <w:r>
        <w:rPr>
          <w:rFonts w:hint="eastAsia" w:ascii="仿宋_GB2312" w:hAnsi="仿宋" w:eastAsia="仿宋_GB2312"/>
          <w:sz w:val="32"/>
          <w:szCs w:val="32"/>
        </w:rPr>
        <w:t>万元，再融资一般债券</w:t>
      </w:r>
      <w:r>
        <w:rPr>
          <w:rFonts w:hint="eastAsia" w:ascii="仿宋_GB2312" w:hAnsi="仿宋" w:eastAsia="仿宋_GB2312"/>
          <w:sz w:val="32"/>
          <w:szCs w:val="32"/>
          <w:lang w:val="en-US" w:eastAsia="zh-CN"/>
        </w:rPr>
        <w:t>1616</w:t>
      </w:r>
      <w:r>
        <w:rPr>
          <w:rFonts w:hint="eastAsia" w:ascii="仿宋_GB2312" w:hAnsi="仿宋" w:eastAsia="仿宋_GB2312"/>
          <w:sz w:val="32"/>
          <w:szCs w:val="32"/>
        </w:rPr>
        <w:t>万元，</w:t>
      </w:r>
      <w:r>
        <w:rPr>
          <w:rFonts w:hint="eastAsia" w:ascii="仿宋_GB2312" w:hAnsi="仿宋_GB2312" w:eastAsia="仿宋_GB2312" w:cs="仿宋_GB2312"/>
          <w:sz w:val="32"/>
          <w:szCs w:val="32"/>
        </w:rPr>
        <w:t>专项债券</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万元</w:t>
      </w:r>
      <w:r>
        <w:rPr>
          <w:rFonts w:hint="eastAsia" w:ascii="仿宋_GB2312" w:hAnsi="仿宋" w:eastAsia="仿宋_GB2312"/>
          <w:sz w:val="32"/>
          <w:szCs w:val="32"/>
        </w:rPr>
        <w:t>；本年归还到期一般债券</w:t>
      </w:r>
      <w:r>
        <w:rPr>
          <w:rFonts w:hint="eastAsia" w:ascii="仿宋_GB2312" w:hAnsi="仿宋" w:eastAsia="仿宋_GB2312"/>
          <w:sz w:val="32"/>
          <w:szCs w:val="32"/>
          <w:lang w:val="en-US" w:eastAsia="zh-CN"/>
        </w:rPr>
        <w:t>2154</w:t>
      </w:r>
      <w:r>
        <w:rPr>
          <w:rFonts w:hint="eastAsia" w:ascii="仿宋_GB2312" w:hAnsi="仿宋" w:eastAsia="仿宋_GB2312"/>
          <w:sz w:val="32"/>
          <w:szCs w:val="32"/>
        </w:rPr>
        <w:t>万元，债务付息支出</w:t>
      </w:r>
      <w:r>
        <w:rPr>
          <w:rFonts w:hint="eastAsia" w:ascii="仿宋_GB2312" w:hAnsi="仿宋" w:eastAsia="仿宋_GB2312"/>
          <w:sz w:val="32"/>
          <w:szCs w:val="32"/>
          <w:lang w:val="en-US" w:eastAsia="zh-CN"/>
        </w:rPr>
        <w:t>1442</w:t>
      </w:r>
      <w:r>
        <w:rPr>
          <w:rFonts w:hint="eastAsia" w:ascii="仿宋_GB2312" w:hAnsi="仿宋" w:eastAsia="仿宋_GB2312"/>
          <w:sz w:val="32"/>
          <w:szCs w:val="32"/>
        </w:rPr>
        <w:t>万元（其中：一般债券付息</w:t>
      </w:r>
      <w:r>
        <w:rPr>
          <w:rFonts w:hint="eastAsia" w:ascii="仿宋_GB2312" w:hAnsi="仿宋" w:eastAsia="仿宋_GB2312"/>
          <w:sz w:val="32"/>
          <w:szCs w:val="32"/>
          <w:lang w:val="en-US" w:eastAsia="zh-CN"/>
        </w:rPr>
        <w:t>814</w:t>
      </w:r>
      <w:r>
        <w:rPr>
          <w:rFonts w:hint="eastAsia" w:ascii="仿宋_GB2312" w:hAnsi="仿宋" w:eastAsia="仿宋_GB2312"/>
          <w:sz w:val="32"/>
          <w:szCs w:val="32"/>
        </w:rPr>
        <w:t>万元，专项债券付息</w:t>
      </w:r>
      <w:r>
        <w:rPr>
          <w:rFonts w:hint="eastAsia" w:ascii="仿宋_GB2312" w:hAnsi="仿宋" w:eastAsia="仿宋_GB2312"/>
          <w:sz w:val="32"/>
          <w:szCs w:val="32"/>
          <w:lang w:val="en-US" w:eastAsia="zh-CN"/>
        </w:rPr>
        <w:t>628</w:t>
      </w:r>
      <w:r>
        <w:rPr>
          <w:rFonts w:hint="eastAsia" w:ascii="仿宋_GB2312" w:hAnsi="仿宋" w:eastAsia="仿宋_GB2312"/>
          <w:sz w:val="32"/>
          <w:szCs w:val="32"/>
        </w:rPr>
        <w:t>万元）。</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年底我县政府债务余额</w:t>
      </w:r>
      <w:r>
        <w:rPr>
          <w:rFonts w:hint="eastAsia" w:ascii="仿宋_GB2312" w:hAnsi="仿宋_GB2312" w:eastAsia="仿宋_GB2312" w:cs="仿宋_GB2312"/>
          <w:kern w:val="0"/>
          <w:sz w:val="32"/>
          <w:szCs w:val="32"/>
          <w:lang w:val="en-US" w:eastAsia="zh-CN"/>
        </w:rPr>
        <w:t>49734</w:t>
      </w:r>
      <w:r>
        <w:rPr>
          <w:rFonts w:hint="eastAsia" w:ascii="仿宋_GB2312" w:hAnsi="仿宋_GB2312" w:eastAsia="仿宋_GB2312" w:cs="仿宋_GB2312"/>
          <w:kern w:val="0"/>
          <w:sz w:val="32"/>
          <w:szCs w:val="32"/>
        </w:rPr>
        <w:t>万元（其中：一般债务余额</w:t>
      </w:r>
      <w:r>
        <w:rPr>
          <w:rFonts w:hint="eastAsia" w:ascii="仿宋_GB2312" w:hAnsi="仿宋_GB2312" w:eastAsia="仿宋_GB2312" w:cs="仿宋_GB2312"/>
          <w:kern w:val="0"/>
          <w:sz w:val="32"/>
          <w:szCs w:val="32"/>
          <w:lang w:val="en-US" w:eastAsia="zh-CN"/>
        </w:rPr>
        <w:t>30334</w:t>
      </w:r>
      <w:r>
        <w:rPr>
          <w:rFonts w:hint="eastAsia" w:ascii="仿宋_GB2312" w:hAnsi="仿宋_GB2312" w:eastAsia="仿宋_GB2312" w:cs="仿宋_GB2312"/>
          <w:kern w:val="0"/>
          <w:sz w:val="32"/>
          <w:szCs w:val="32"/>
        </w:rPr>
        <w:t>万元，专项债务余额</w:t>
      </w:r>
      <w:r>
        <w:rPr>
          <w:rFonts w:hint="eastAsia" w:ascii="仿宋_GB2312" w:hAnsi="仿宋_GB2312" w:eastAsia="仿宋_GB2312" w:cs="仿宋_GB2312"/>
          <w:kern w:val="0"/>
          <w:sz w:val="32"/>
          <w:szCs w:val="32"/>
          <w:lang w:val="en-US" w:eastAsia="zh-CN"/>
        </w:rPr>
        <w:t>19400</w:t>
      </w:r>
      <w:r>
        <w:rPr>
          <w:rFonts w:hint="eastAsia" w:ascii="仿宋_GB2312" w:hAnsi="仿宋_GB2312" w:eastAsia="仿宋_GB2312" w:cs="仿宋_GB2312"/>
          <w:kern w:val="0"/>
          <w:sz w:val="32"/>
          <w:szCs w:val="32"/>
        </w:rPr>
        <w:t>万元）</w:t>
      </w:r>
      <w:r>
        <w:rPr>
          <w:rFonts w:hint="eastAsia" w:ascii="仿宋_GB2312" w:hAnsi="仿宋" w:eastAsia="仿宋_GB2312"/>
          <w:sz w:val="32"/>
          <w:szCs w:val="32"/>
        </w:rPr>
        <w:t>，一般债务和专项债务均未突破市政府下达</w:t>
      </w:r>
      <w:r>
        <w:rPr>
          <w:rFonts w:hint="eastAsia" w:ascii="仿宋_GB2312" w:hAnsi="仿宋" w:eastAsia="仿宋_GB2312"/>
          <w:sz w:val="32"/>
          <w:szCs w:val="32"/>
          <w:lang w:val="en-US" w:eastAsia="zh-CN"/>
        </w:rPr>
        <w:t>的</w:t>
      </w:r>
      <w:r>
        <w:rPr>
          <w:rFonts w:hint="eastAsia" w:ascii="仿宋_GB2312" w:hAnsi="仿宋" w:eastAsia="仿宋_GB2312"/>
          <w:sz w:val="32"/>
          <w:szCs w:val="32"/>
        </w:rPr>
        <w:t>控制限额。</w:t>
      </w:r>
    </w:p>
    <w:p w14:paraId="1DDB42B0">
      <w:pPr>
        <w:rPr>
          <w:rFonts w:hint="eastAsia"/>
        </w:rPr>
      </w:pPr>
      <w:r>
        <w:rPr>
          <w:rFonts w:hint="eastAsia" w:ascii="仿宋_GB2312" w:hAnsi="仿宋" w:eastAsia="仿宋_GB2312"/>
          <w:sz w:val="32"/>
          <w:szCs w:val="32"/>
        </w:rPr>
        <w:br w:type="page"/>
      </w:r>
    </w:p>
    <w:p w14:paraId="40786BD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佛坪县202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年度一般公共预算“三公经费”情况说明</w:t>
      </w:r>
    </w:p>
    <w:p w14:paraId="61A469B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6"/>
        <w:rPr>
          <w:rFonts w:ascii="仿宋_GB2312" w:hAnsi="微软雅黑" w:eastAsia="仿宋_GB2312" w:cs="宋体"/>
          <w:bCs/>
          <w:kern w:val="0"/>
          <w:sz w:val="32"/>
          <w:szCs w:val="32"/>
        </w:rPr>
      </w:pPr>
    </w:p>
    <w:p w14:paraId="7F98237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6"/>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县本级</w:t>
      </w:r>
      <w:r>
        <w:rPr>
          <w:rFonts w:ascii="仿宋_GB2312" w:hAnsi="微软雅黑" w:eastAsia="仿宋_GB2312" w:cs="宋体"/>
          <w:bCs/>
          <w:kern w:val="0"/>
          <w:sz w:val="32"/>
          <w:szCs w:val="32"/>
        </w:rPr>
        <w:t>202</w:t>
      </w:r>
      <w:r>
        <w:rPr>
          <w:rFonts w:hint="eastAsia" w:ascii="仿宋_GB2312" w:hAnsi="微软雅黑" w:eastAsia="仿宋_GB2312" w:cs="宋体"/>
          <w:bCs/>
          <w:kern w:val="0"/>
          <w:sz w:val="32"/>
          <w:szCs w:val="32"/>
          <w:lang w:val="en-US" w:eastAsia="zh-CN"/>
        </w:rPr>
        <w:t>3</w:t>
      </w:r>
      <w:r>
        <w:rPr>
          <w:rFonts w:hint="eastAsia" w:ascii="仿宋_GB2312" w:hAnsi="微软雅黑" w:eastAsia="仿宋_GB2312" w:cs="宋体"/>
          <w:bCs/>
          <w:kern w:val="0"/>
          <w:sz w:val="32"/>
          <w:szCs w:val="32"/>
        </w:rPr>
        <w:t>年度行政事业单位公共预算财政拨款安排的“三公经费”支出</w:t>
      </w:r>
      <w:r>
        <w:rPr>
          <w:rFonts w:ascii="仿宋_GB2312" w:hAnsi="微软雅黑" w:eastAsia="仿宋_GB2312" w:cs="宋体"/>
          <w:bCs/>
          <w:kern w:val="0"/>
          <w:sz w:val="32"/>
          <w:szCs w:val="32"/>
        </w:rPr>
        <w:t>19</w:t>
      </w:r>
      <w:r>
        <w:rPr>
          <w:rFonts w:hint="eastAsia" w:ascii="仿宋_GB2312" w:hAnsi="微软雅黑" w:eastAsia="仿宋_GB2312" w:cs="宋体"/>
          <w:bCs/>
          <w:kern w:val="0"/>
          <w:sz w:val="32"/>
          <w:szCs w:val="32"/>
          <w:lang w:val="en-US" w:eastAsia="zh-CN"/>
        </w:rPr>
        <w:t>1</w:t>
      </w:r>
      <w:r>
        <w:rPr>
          <w:rFonts w:hint="eastAsia" w:ascii="仿宋_GB2312" w:hAnsi="微软雅黑" w:eastAsia="仿宋_GB2312" w:cs="宋体"/>
          <w:bCs/>
          <w:kern w:val="0"/>
          <w:sz w:val="32"/>
          <w:szCs w:val="32"/>
        </w:rPr>
        <w:t>万元，较</w:t>
      </w:r>
      <w:r>
        <w:rPr>
          <w:rFonts w:ascii="仿宋_GB2312" w:hAnsi="微软雅黑" w:eastAsia="仿宋_GB2312" w:cs="宋体"/>
          <w:bCs/>
          <w:kern w:val="0"/>
          <w:sz w:val="32"/>
          <w:szCs w:val="32"/>
        </w:rPr>
        <w:t>202</w:t>
      </w:r>
      <w:r>
        <w:rPr>
          <w:rFonts w:hint="eastAsia" w:ascii="仿宋_GB2312" w:hAnsi="微软雅黑" w:eastAsia="仿宋_GB2312" w:cs="宋体"/>
          <w:bCs/>
          <w:kern w:val="0"/>
          <w:sz w:val="32"/>
          <w:szCs w:val="32"/>
          <w:lang w:val="en-US" w:eastAsia="zh-CN"/>
        </w:rPr>
        <w:t>2</w:t>
      </w:r>
      <w:r>
        <w:rPr>
          <w:rFonts w:hint="eastAsia" w:ascii="仿宋_GB2312" w:hAnsi="微软雅黑" w:eastAsia="仿宋_GB2312" w:cs="宋体"/>
          <w:bCs/>
          <w:kern w:val="0"/>
          <w:sz w:val="32"/>
          <w:szCs w:val="32"/>
        </w:rPr>
        <w:t>年减少</w:t>
      </w:r>
      <w:r>
        <w:rPr>
          <w:rFonts w:hint="eastAsia" w:ascii="仿宋_GB2312" w:hAnsi="微软雅黑" w:eastAsia="仿宋_GB2312" w:cs="宋体"/>
          <w:bCs/>
          <w:kern w:val="0"/>
          <w:sz w:val="32"/>
          <w:szCs w:val="32"/>
          <w:lang w:val="en-US" w:eastAsia="zh-CN"/>
        </w:rPr>
        <w:t>5</w:t>
      </w:r>
      <w:r>
        <w:rPr>
          <w:rFonts w:hint="eastAsia" w:ascii="仿宋_GB2312" w:hAnsi="微软雅黑" w:eastAsia="仿宋_GB2312" w:cs="宋体"/>
          <w:bCs/>
          <w:kern w:val="0"/>
          <w:sz w:val="32"/>
          <w:szCs w:val="32"/>
        </w:rPr>
        <w:t>万元，下降</w:t>
      </w:r>
      <w:r>
        <w:rPr>
          <w:rFonts w:hint="eastAsia" w:ascii="仿宋_GB2312" w:hAnsi="微软雅黑" w:eastAsia="仿宋_GB2312" w:cs="宋体"/>
          <w:bCs/>
          <w:kern w:val="0"/>
          <w:sz w:val="32"/>
          <w:szCs w:val="32"/>
          <w:lang w:val="en-US" w:eastAsia="zh-CN"/>
        </w:rPr>
        <w:t>2.6</w:t>
      </w:r>
      <w:r>
        <w:rPr>
          <w:rFonts w:ascii="仿宋_GB2312" w:hAnsi="微软雅黑" w:eastAsia="仿宋_GB2312" w:cs="宋体"/>
          <w:bCs/>
          <w:kern w:val="0"/>
          <w:sz w:val="32"/>
          <w:szCs w:val="32"/>
        </w:rPr>
        <w:t>%</w:t>
      </w:r>
      <w:r>
        <w:rPr>
          <w:rFonts w:hint="eastAsia" w:ascii="仿宋_GB2312" w:hAnsi="微软雅黑" w:eastAsia="仿宋_GB2312" w:cs="宋体"/>
          <w:bCs/>
          <w:kern w:val="0"/>
          <w:sz w:val="32"/>
          <w:szCs w:val="32"/>
        </w:rPr>
        <w:t>，下降的主要原因是严格执行中央八项规定及公务用车改革，加强公务用车日常管理，严控出国</w:t>
      </w:r>
      <w:r>
        <w:rPr>
          <w:rFonts w:hint="eastAsia" w:ascii="仿宋_GB2312" w:hAnsi="微软雅黑" w:eastAsia="仿宋_GB2312" w:cs="宋体"/>
          <w:bCs/>
          <w:kern w:val="0"/>
          <w:sz w:val="32"/>
          <w:szCs w:val="32"/>
          <w:lang w:val="en-US" w:eastAsia="zh-CN"/>
        </w:rPr>
        <w:t>出</w:t>
      </w:r>
      <w:r>
        <w:rPr>
          <w:rFonts w:hint="eastAsia" w:ascii="仿宋_GB2312" w:hAnsi="微软雅黑" w:eastAsia="仿宋_GB2312" w:cs="宋体"/>
          <w:bCs/>
          <w:kern w:val="0"/>
          <w:sz w:val="32"/>
          <w:szCs w:val="32"/>
        </w:rPr>
        <w:t>境费用支出，“三公经费”保持了只减不增。</w:t>
      </w:r>
    </w:p>
    <w:p w14:paraId="34476EE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6"/>
        <w:rPr>
          <w:rFonts w:ascii="仿宋_GB2312" w:hAnsi="微软雅黑" w:eastAsia="仿宋_GB2312" w:cs="宋体"/>
          <w:bCs/>
          <w:kern w:val="0"/>
          <w:sz w:val="32"/>
          <w:szCs w:val="32"/>
        </w:rPr>
      </w:pPr>
      <w:r>
        <w:rPr>
          <w:rFonts w:ascii="仿宋_GB2312" w:hAnsi="微软雅黑" w:eastAsia="仿宋_GB2312" w:cs="宋体"/>
          <w:bCs/>
          <w:kern w:val="0"/>
          <w:sz w:val="32"/>
          <w:szCs w:val="32"/>
        </w:rPr>
        <w:t xml:space="preserve">1. </w:t>
      </w:r>
      <w:r>
        <w:rPr>
          <w:rFonts w:hint="eastAsia" w:ascii="仿宋_GB2312" w:hAnsi="微软雅黑" w:eastAsia="仿宋_GB2312" w:cs="宋体"/>
          <w:bCs/>
          <w:kern w:val="0"/>
          <w:sz w:val="32"/>
          <w:szCs w:val="32"/>
        </w:rPr>
        <w:t>因公出国</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bCs/>
          <w:kern w:val="0"/>
          <w:sz w:val="32"/>
          <w:szCs w:val="32"/>
        </w:rPr>
        <w:t>境</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bCs/>
          <w:kern w:val="0"/>
          <w:sz w:val="32"/>
          <w:szCs w:val="32"/>
        </w:rPr>
        <w:t>费用</w:t>
      </w:r>
      <w:r>
        <w:rPr>
          <w:rFonts w:ascii="仿宋_GB2312" w:hAnsi="微软雅黑" w:eastAsia="仿宋_GB2312" w:cs="宋体"/>
          <w:bCs/>
          <w:kern w:val="0"/>
          <w:sz w:val="32"/>
          <w:szCs w:val="32"/>
        </w:rPr>
        <w:t>0</w:t>
      </w:r>
      <w:r>
        <w:rPr>
          <w:rFonts w:hint="eastAsia" w:ascii="仿宋_GB2312" w:hAnsi="微软雅黑" w:eastAsia="仿宋_GB2312" w:cs="宋体"/>
          <w:bCs/>
          <w:kern w:val="0"/>
          <w:sz w:val="32"/>
          <w:szCs w:val="32"/>
        </w:rPr>
        <w:t>万元，较上年减少</w:t>
      </w:r>
      <w:r>
        <w:rPr>
          <w:rFonts w:ascii="仿宋_GB2312" w:hAnsi="微软雅黑" w:eastAsia="仿宋_GB2312" w:cs="宋体"/>
          <w:bCs/>
          <w:kern w:val="0"/>
          <w:sz w:val="32"/>
          <w:szCs w:val="32"/>
        </w:rPr>
        <w:t>0</w:t>
      </w:r>
      <w:r>
        <w:rPr>
          <w:rFonts w:hint="eastAsia" w:ascii="仿宋_GB2312" w:hAnsi="微软雅黑" w:eastAsia="仿宋_GB2312" w:cs="宋体"/>
          <w:bCs/>
          <w:kern w:val="0"/>
          <w:sz w:val="32"/>
          <w:szCs w:val="32"/>
        </w:rPr>
        <w:t>万元</w:t>
      </w:r>
      <w:r>
        <w:rPr>
          <w:rFonts w:hint="eastAsia" w:ascii="仿宋_GB2312" w:hAnsi="微软雅黑" w:eastAsia="仿宋_GB2312" w:cs="宋体"/>
          <w:bCs/>
          <w:kern w:val="0"/>
          <w:sz w:val="32"/>
          <w:szCs w:val="32"/>
          <w:highlight w:val="none"/>
          <w:lang w:eastAsia="zh-CN"/>
        </w:rPr>
        <w:t>，</w:t>
      </w:r>
      <w:r>
        <w:rPr>
          <w:rFonts w:ascii="仿宋_GB2312" w:hAnsi="微软雅黑" w:eastAsia="仿宋_GB2312" w:cs="宋体"/>
          <w:bCs/>
          <w:kern w:val="0"/>
          <w:sz w:val="32"/>
          <w:szCs w:val="32"/>
        </w:rPr>
        <w:t xml:space="preserve"> </w:t>
      </w:r>
      <w:r>
        <w:rPr>
          <w:rFonts w:hint="eastAsia" w:ascii="仿宋_GB2312" w:hAnsi="微软雅黑" w:eastAsia="仿宋_GB2312" w:cs="宋体"/>
          <w:bCs/>
          <w:kern w:val="0"/>
          <w:sz w:val="32"/>
          <w:szCs w:val="32"/>
        </w:rPr>
        <w:t>主要是上年和本年未发生因公出国（境）费用。</w:t>
      </w:r>
    </w:p>
    <w:p w14:paraId="721DFAC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6"/>
        <w:rPr>
          <w:rFonts w:ascii="仿宋_GB2312" w:hAnsi="微软雅黑" w:eastAsia="仿宋_GB2312" w:cs="宋体"/>
          <w:bCs/>
          <w:kern w:val="0"/>
          <w:sz w:val="32"/>
          <w:szCs w:val="32"/>
        </w:rPr>
      </w:pP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公务用车购置及运行维护费支出</w:t>
      </w:r>
      <w:r>
        <w:rPr>
          <w:rFonts w:ascii="仿宋_GB2312" w:hAnsi="微软雅黑" w:eastAsia="仿宋_GB2312" w:cs="宋体"/>
          <w:bCs/>
          <w:kern w:val="0"/>
          <w:sz w:val="32"/>
          <w:szCs w:val="32"/>
        </w:rPr>
        <w:t>12</w:t>
      </w:r>
      <w:r>
        <w:rPr>
          <w:rFonts w:hint="eastAsia" w:ascii="仿宋_GB2312" w:hAnsi="微软雅黑" w:eastAsia="仿宋_GB2312" w:cs="宋体"/>
          <w:bCs/>
          <w:kern w:val="0"/>
          <w:sz w:val="32"/>
          <w:szCs w:val="32"/>
          <w:lang w:val="en-US" w:eastAsia="zh-CN"/>
        </w:rPr>
        <w:t>3</w:t>
      </w:r>
      <w:r>
        <w:rPr>
          <w:rFonts w:hint="eastAsia" w:ascii="仿宋_GB2312" w:hAnsi="微软雅黑" w:eastAsia="仿宋_GB2312" w:cs="宋体"/>
          <w:bCs/>
          <w:kern w:val="0"/>
          <w:sz w:val="32"/>
          <w:szCs w:val="32"/>
        </w:rPr>
        <w:t>万元，其中公务用车运行维护费</w:t>
      </w:r>
      <w:r>
        <w:rPr>
          <w:rFonts w:ascii="仿宋_GB2312" w:hAnsi="微软雅黑" w:eastAsia="仿宋_GB2312" w:cs="宋体"/>
          <w:bCs/>
          <w:kern w:val="0"/>
          <w:sz w:val="32"/>
          <w:szCs w:val="32"/>
        </w:rPr>
        <w:t>12</w:t>
      </w:r>
      <w:r>
        <w:rPr>
          <w:rFonts w:hint="eastAsia" w:ascii="仿宋_GB2312" w:hAnsi="微软雅黑" w:eastAsia="仿宋_GB2312" w:cs="宋体"/>
          <w:bCs/>
          <w:kern w:val="0"/>
          <w:sz w:val="32"/>
          <w:szCs w:val="32"/>
          <w:lang w:val="en-US" w:eastAsia="zh-CN"/>
        </w:rPr>
        <w:t>3</w:t>
      </w:r>
      <w:r>
        <w:rPr>
          <w:rFonts w:hint="eastAsia" w:ascii="仿宋_GB2312" w:hAnsi="微软雅黑" w:eastAsia="仿宋_GB2312" w:cs="宋体"/>
          <w:bCs/>
          <w:kern w:val="0"/>
          <w:sz w:val="32"/>
          <w:szCs w:val="32"/>
        </w:rPr>
        <w:t>万元，较</w:t>
      </w:r>
      <w:r>
        <w:rPr>
          <w:rFonts w:ascii="仿宋_GB2312" w:hAnsi="微软雅黑" w:eastAsia="仿宋_GB2312" w:cs="宋体"/>
          <w:bCs/>
          <w:kern w:val="0"/>
          <w:sz w:val="32"/>
          <w:szCs w:val="32"/>
        </w:rPr>
        <w:t>202</w:t>
      </w:r>
      <w:r>
        <w:rPr>
          <w:rFonts w:hint="eastAsia" w:ascii="仿宋_GB2312" w:hAnsi="微软雅黑" w:eastAsia="仿宋_GB2312" w:cs="宋体"/>
          <w:bCs/>
          <w:kern w:val="0"/>
          <w:sz w:val="32"/>
          <w:szCs w:val="32"/>
          <w:lang w:val="en-US" w:eastAsia="zh-CN"/>
        </w:rPr>
        <w:t>2</w:t>
      </w:r>
      <w:r>
        <w:rPr>
          <w:rFonts w:hint="eastAsia" w:ascii="仿宋_GB2312" w:hAnsi="微软雅黑" w:eastAsia="仿宋_GB2312" w:cs="宋体"/>
          <w:bCs/>
          <w:kern w:val="0"/>
          <w:sz w:val="32"/>
          <w:szCs w:val="32"/>
        </w:rPr>
        <w:t>年减少</w:t>
      </w:r>
      <w:r>
        <w:rPr>
          <w:rFonts w:hint="eastAsia" w:ascii="仿宋_GB2312" w:hAnsi="微软雅黑" w:eastAsia="仿宋_GB2312" w:cs="宋体"/>
          <w:bCs/>
          <w:kern w:val="0"/>
          <w:sz w:val="32"/>
          <w:szCs w:val="32"/>
          <w:lang w:val="en-US" w:eastAsia="zh-CN"/>
        </w:rPr>
        <w:t>5</w:t>
      </w:r>
      <w:r>
        <w:rPr>
          <w:rFonts w:hint="eastAsia" w:ascii="仿宋_GB2312" w:hAnsi="微软雅黑" w:eastAsia="仿宋_GB2312" w:cs="宋体"/>
          <w:bCs/>
          <w:kern w:val="0"/>
          <w:sz w:val="32"/>
          <w:szCs w:val="32"/>
        </w:rPr>
        <w:t>万元，下降</w:t>
      </w:r>
      <w:r>
        <w:rPr>
          <w:rFonts w:hint="eastAsia" w:ascii="仿宋_GB2312" w:hAnsi="微软雅黑" w:eastAsia="仿宋_GB2312" w:cs="宋体"/>
          <w:bCs/>
          <w:kern w:val="0"/>
          <w:sz w:val="32"/>
          <w:szCs w:val="32"/>
          <w:lang w:val="en-US" w:eastAsia="zh-CN"/>
        </w:rPr>
        <w:t>3.9</w:t>
      </w:r>
      <w:r>
        <w:rPr>
          <w:rFonts w:ascii="仿宋_GB2312" w:hAnsi="微软雅黑" w:eastAsia="仿宋_GB2312" w:cs="宋体"/>
          <w:bCs/>
          <w:kern w:val="0"/>
          <w:sz w:val="32"/>
          <w:szCs w:val="32"/>
        </w:rPr>
        <w:t>%</w:t>
      </w:r>
      <w:r>
        <w:rPr>
          <w:rFonts w:hint="eastAsia" w:ascii="仿宋_GB2312" w:hAnsi="微软雅黑" w:eastAsia="仿宋_GB2312" w:cs="宋体"/>
          <w:bCs/>
          <w:kern w:val="0"/>
          <w:sz w:val="32"/>
          <w:szCs w:val="32"/>
        </w:rPr>
        <w:t>，下降的主要原因是</w:t>
      </w:r>
      <w:r>
        <w:rPr>
          <w:rFonts w:hint="eastAsia" w:ascii="仿宋_GB2312" w:hAnsi="微软雅黑" w:eastAsia="仿宋_GB2312" w:cs="宋体"/>
          <w:bCs/>
          <w:kern w:val="0"/>
          <w:sz w:val="32"/>
          <w:szCs w:val="32"/>
          <w:highlight w:val="none"/>
          <w:lang w:eastAsia="zh-CN"/>
        </w:rPr>
        <w:t>：</w:t>
      </w:r>
      <w:r>
        <w:rPr>
          <w:rFonts w:ascii="仿宋_GB2312" w:hAnsi="微软雅黑" w:eastAsia="仿宋_GB2312" w:cs="宋体"/>
          <w:bCs/>
          <w:kern w:val="0"/>
          <w:sz w:val="32"/>
          <w:szCs w:val="32"/>
        </w:rPr>
        <w:t xml:space="preserve"> </w:t>
      </w:r>
      <w:r>
        <w:rPr>
          <w:rFonts w:hint="eastAsia" w:ascii="仿宋_GB2312" w:hAnsi="微软雅黑" w:eastAsia="仿宋_GB2312" w:cs="宋体"/>
          <w:bCs/>
          <w:kern w:val="0"/>
          <w:sz w:val="32"/>
          <w:szCs w:val="32"/>
        </w:rPr>
        <w:t>严格执行中央八项规定及公务用车改革，加强公务用车日常管理，严控相关支出。</w:t>
      </w:r>
    </w:p>
    <w:p w14:paraId="6FA5D6B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6"/>
        <w:rPr>
          <w:rFonts w:hint="eastAsia" w:ascii="仿宋_GB2312" w:hAnsi="微软雅黑" w:eastAsia="仿宋_GB2312" w:cs="宋体"/>
          <w:bCs/>
          <w:kern w:val="0"/>
          <w:sz w:val="32"/>
          <w:szCs w:val="32"/>
        </w:rPr>
      </w:pP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公务接待费</w:t>
      </w:r>
      <w:r>
        <w:rPr>
          <w:rFonts w:ascii="仿宋_GB2312" w:hAnsi="微软雅黑" w:eastAsia="仿宋_GB2312" w:cs="宋体"/>
          <w:bCs/>
          <w:kern w:val="0"/>
          <w:sz w:val="32"/>
          <w:szCs w:val="32"/>
        </w:rPr>
        <w:t>68</w:t>
      </w:r>
      <w:r>
        <w:rPr>
          <w:rFonts w:hint="eastAsia" w:ascii="仿宋_GB2312" w:hAnsi="微软雅黑" w:eastAsia="仿宋_GB2312" w:cs="宋体"/>
          <w:bCs/>
          <w:kern w:val="0"/>
          <w:sz w:val="32"/>
          <w:szCs w:val="32"/>
        </w:rPr>
        <w:t>万元，</w:t>
      </w:r>
      <w:r>
        <w:rPr>
          <w:rFonts w:hint="eastAsia" w:ascii="仿宋_GB2312" w:hAnsi="微软雅黑" w:eastAsia="仿宋_GB2312" w:cs="宋体"/>
          <w:bCs/>
          <w:kern w:val="0"/>
          <w:sz w:val="32"/>
          <w:szCs w:val="32"/>
          <w:lang w:val="en-US" w:eastAsia="zh-CN"/>
        </w:rPr>
        <w:t>与上年持平</w:t>
      </w:r>
      <w:r>
        <w:rPr>
          <w:rFonts w:hint="eastAsia" w:ascii="仿宋_GB2312" w:hAnsi="微软雅黑" w:eastAsia="仿宋_GB2312" w:cs="宋体"/>
          <w:bCs/>
          <w:kern w:val="0"/>
          <w:sz w:val="32"/>
          <w:szCs w:val="32"/>
        </w:rPr>
        <w:t>。主要原因是：进一步贯彻落实党政机关厉行节约有关要求，严格执行中央八项规定，加强公务接待经费管理，严控公务接待人次，确保公务接待费只减不增。</w:t>
      </w:r>
    </w:p>
    <w:p w14:paraId="7325D14F">
      <w:pPr>
        <w:rPr>
          <w:rFonts w:hint="eastAsia"/>
        </w:rPr>
      </w:pPr>
      <w:r>
        <w:rPr>
          <w:rFonts w:hint="eastAsia" w:ascii="仿宋_GB2312" w:hAnsi="微软雅黑" w:eastAsia="仿宋_GB2312" w:cs="宋体"/>
          <w:bCs/>
          <w:kern w:val="0"/>
          <w:sz w:val="32"/>
          <w:szCs w:val="32"/>
        </w:rPr>
        <w:br w:type="page"/>
      </w:r>
    </w:p>
    <w:p w14:paraId="0FE6C559">
      <w:pPr>
        <w:widowControl w:val="0"/>
        <w:spacing w:line="560" w:lineRule="exact"/>
        <w:jc w:val="center"/>
        <w:rPr>
          <w:rFonts w:ascii="仿宋_GB2312" w:hAnsi="仿宋_GB2312" w:eastAsia="仿宋_GB2312" w:cs="仿宋_GB2312"/>
          <w:sz w:val="32"/>
          <w:szCs w:val="32"/>
        </w:rPr>
      </w:pPr>
      <w:bookmarkStart w:id="0" w:name="_Hlk118124830"/>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024</w:t>
      </w:r>
      <w:r>
        <w:rPr>
          <w:rFonts w:hint="eastAsia" w:ascii="方正小标宋简体" w:hAnsi="方正小标宋简体" w:eastAsia="方正小标宋简体" w:cs="方正小标宋简体"/>
          <w:sz w:val="44"/>
          <w:szCs w:val="44"/>
        </w:rPr>
        <w:t>年度预算绩效工作开展情况的说明</w:t>
      </w:r>
    </w:p>
    <w:p w14:paraId="55803DCE">
      <w:pPr>
        <w:widowControl w:val="0"/>
        <w:spacing w:line="560" w:lineRule="exact"/>
        <w:ind w:firstLine="640" w:firstLineChars="200"/>
        <w:jc w:val="both"/>
        <w:rPr>
          <w:rFonts w:hint="eastAsia" w:ascii="仿宋_GB2312" w:hAnsi="仿宋_GB2312" w:eastAsia="仿宋_GB2312" w:cs="仿宋_GB2312"/>
          <w:sz w:val="32"/>
          <w:szCs w:val="32"/>
        </w:rPr>
      </w:pPr>
    </w:p>
    <w:p w14:paraId="3E08432B">
      <w:pPr>
        <w:widowControl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我县以“预算绩效突破年”为抓手，聚焦目标管理、运行监控、绩效评价和结果应用四个方面，进一步提升预算绩效全过程管理，推进全县预算绩效管理工作上台阶</w:t>
      </w:r>
      <w:r>
        <w:rPr>
          <w:rFonts w:hint="eastAsia" w:ascii="仿宋_GB2312" w:hAnsi="仿宋_GB2312" w:eastAsia="仿宋_GB2312" w:cs="仿宋_GB2312"/>
          <w:sz w:val="32"/>
          <w:szCs w:val="32"/>
        </w:rPr>
        <w:t>。</w:t>
      </w:r>
    </w:p>
    <w:p w14:paraId="69F86C60">
      <w:pPr>
        <w:widowControl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shd w:val="clear" w:color="auto" w:fill="FFFFFF"/>
        </w:rPr>
        <w:t>规范绩效目标管理，</w:t>
      </w:r>
      <w:bookmarkStart w:id="1" w:name="_GoBack"/>
      <w:bookmarkEnd w:id="1"/>
      <w:r>
        <w:rPr>
          <w:rFonts w:hint="eastAsia" w:ascii="仿宋_GB2312" w:hAnsi="仿宋_GB2312" w:eastAsia="仿宋_GB2312" w:cs="仿宋_GB2312"/>
          <w:sz w:val="32"/>
          <w:szCs w:val="32"/>
          <w:shd w:val="clear" w:color="auto" w:fill="FFFFFF"/>
        </w:rPr>
        <w:t>科学编制预算。</w:t>
      </w:r>
      <w:r>
        <w:rPr>
          <w:rFonts w:hint="eastAsia" w:ascii="仿宋_GB2312" w:hAnsi="仿宋_GB2312" w:eastAsia="仿宋_GB2312" w:cs="仿宋_GB2312"/>
          <w:sz w:val="32"/>
          <w:szCs w:val="32"/>
        </w:rPr>
        <w:t>把绩效目标作为预算资金安排的前置条件，强化项目绩效目标管理，对单位申报预算项目进行梳理、加强审核、合理保障，对未提供专项资金绩效目标申报表，无具体内容的专项，一律不予安排资金。同时，按规定要求批复绩效目标。年初随部门预算批复单位整体绩效目标和专项业务经费绩效目标。年中追加、调整预算时，随资金文件同步批复绩效目标。</w:t>
      </w:r>
    </w:p>
    <w:p w14:paraId="6272206F">
      <w:pPr>
        <w:widowControl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二是紧</w:t>
      </w:r>
      <w:r>
        <w:rPr>
          <w:rFonts w:hint="eastAsia" w:ascii="仿宋_GB2312" w:hAnsi="仿宋_GB2312" w:eastAsia="仿宋_GB2312" w:cs="仿宋_GB2312"/>
          <w:sz w:val="32"/>
          <w:szCs w:val="32"/>
          <w:shd w:val="clear" w:color="auto" w:fill="FFFFFF"/>
        </w:rPr>
        <w:t>抓绩效监控管理，保障绩效运行。预算执行环节，加强预算资金跟踪，按月通报专项资金执行情况，</w:t>
      </w:r>
      <w:r>
        <w:rPr>
          <w:rFonts w:hint="eastAsia" w:ascii="仿宋_GB2312" w:hAnsi="仿宋_GB2312" w:eastAsia="仿宋_GB2312" w:cs="仿宋_GB2312"/>
          <w:sz w:val="32"/>
          <w:szCs w:val="32"/>
          <w:shd w:val="clear" w:color="auto" w:fill="FFFFFF"/>
          <w:lang w:val="en-US" w:eastAsia="zh-CN"/>
        </w:rPr>
        <w:t>采取重点突出，全面覆盖的方式实施绩效运行监控，</w:t>
      </w:r>
      <w:r>
        <w:rPr>
          <w:rFonts w:hint="eastAsia" w:ascii="仿宋_GB2312" w:hAnsi="仿宋_GB2312" w:eastAsia="仿宋_GB2312" w:cs="仿宋_GB2312"/>
          <w:sz w:val="32"/>
          <w:szCs w:val="32"/>
          <w:shd w:val="clear" w:color="auto" w:fill="FFFFFF"/>
        </w:rPr>
        <w:t>及时掌握财政资金使用情况，跟踪查找薄弱环节，有效提高财政资金管理水平。</w:t>
      </w:r>
    </w:p>
    <w:p w14:paraId="6D5FD38A">
      <w:pPr>
        <w:widowControl w:val="0"/>
        <w:spacing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三是狠</w:t>
      </w:r>
      <w:r>
        <w:rPr>
          <w:rFonts w:hint="eastAsia" w:ascii="仿宋_GB2312" w:hAnsi="仿宋_GB2312" w:eastAsia="仿宋_GB2312" w:cs="仿宋_GB2312"/>
          <w:sz w:val="32"/>
          <w:szCs w:val="32"/>
          <w:shd w:val="clear" w:color="auto" w:fill="FFFFFF"/>
        </w:rPr>
        <w:t>抓绩效评价管理，提高工作效能。</w:t>
      </w:r>
      <w:r>
        <w:rPr>
          <w:rFonts w:hint="eastAsia" w:ascii="仿宋_GB2312" w:hAnsi="仿宋_GB2312" w:eastAsia="仿宋_GB2312" w:cs="仿宋_GB2312"/>
          <w:sz w:val="32"/>
          <w:szCs w:val="32"/>
        </w:rPr>
        <w:t>进一步扩大预算绩效自评范围，</w:t>
      </w:r>
      <w:r>
        <w:rPr>
          <w:rFonts w:hint="eastAsia" w:ascii="仿宋_GB2312" w:hAnsi="仿宋_GB2312" w:eastAsia="仿宋_GB2312" w:cs="仿宋_GB2312"/>
          <w:sz w:val="32"/>
          <w:szCs w:val="32"/>
          <w:shd w:val="clear" w:color="auto" w:fill="FFFFFF"/>
        </w:rPr>
        <w:t>组织全县</w:t>
      </w:r>
      <w:r>
        <w:rPr>
          <w:rFonts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5个部门对上年度项目支出和部门整体支出开展了绩效自评，由财政局归口业务股室对自评报告进行抽查复核。同时，围绕县委</w:t>
      </w:r>
      <w:r>
        <w:rPr>
          <w:rFonts w:hint="eastAsia" w:ascii="仿宋_GB2312" w:hAnsi="仿宋_GB2312" w:eastAsia="仿宋_GB2312" w:cs="仿宋_GB2312"/>
          <w:sz w:val="32"/>
          <w:szCs w:val="32"/>
          <w:shd w:val="clear" w:color="auto" w:fill="FFFFFF"/>
          <w:lang w:eastAsia="zh-CN"/>
        </w:rPr>
        <w:t>、县</w:t>
      </w:r>
      <w:r>
        <w:rPr>
          <w:rFonts w:hint="eastAsia" w:ascii="仿宋_GB2312" w:hAnsi="仿宋_GB2312" w:eastAsia="仿宋_GB2312" w:cs="仿宋_GB2312"/>
          <w:sz w:val="32"/>
          <w:szCs w:val="32"/>
          <w:shd w:val="clear" w:color="auto" w:fill="FFFFFF"/>
        </w:rPr>
        <w:t>政府重点工作，选取了两个部门整体支出、八个重点项目支出开展了重点绩效评价，涵盖一般公共预算、政府性基金预算、国有资本经营预算和社保基金预算，包括民生保障、教育环保、城镇化建设等重点领域。</w:t>
      </w:r>
    </w:p>
    <w:p w14:paraId="154D7024">
      <w:pPr>
        <w:widowControl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是强化评价结果应用，确保长效运行。主动公开公示绩效目标和绩效评价结果，通过政府网站信息公开专栏公开绩效目标和绩效评价结果，不断增强财政支出绩效评价的透明度。202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5个部门整体支出绩效目标和专项业务费绩效目标随同部门预算在政府门户网站进行了公开，202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部门整体绩效评价和专项资金绩效评价结果随同部门决算在政府门户网站进行了公开。将绩效评价结果与预算安排相结合，对评价结果较好的项目原则上优先保障，对绩效一般的项目督促改进，对低效无效的项目进行消减或取消。</w:t>
      </w:r>
      <w:bookmarkEnd w:id="0"/>
    </w:p>
    <w:p w14:paraId="3B46BC48">
      <w:pPr>
        <w:rPr>
          <w:rFonts w:hint="eastAsia" w:ascii="方正小标宋简体" w:hAnsi="方正小标宋_GBK" w:eastAsia="方正小标宋简体" w:cs="Helvetica"/>
          <w:color w:val="000000"/>
          <w:sz w:val="44"/>
          <w:szCs w:val="44"/>
        </w:rPr>
      </w:pPr>
      <w:r>
        <w:rPr>
          <w:rFonts w:hint="eastAsia" w:ascii="方正小标宋简体" w:hAnsi="方正小标宋_GBK" w:eastAsia="方正小标宋简体" w:cs="Helvetica"/>
          <w:color w:val="000000"/>
          <w:sz w:val="44"/>
          <w:szCs w:val="44"/>
        </w:rPr>
        <w:br w:type="page"/>
      </w:r>
    </w:p>
    <w:p w14:paraId="3403BB3C">
      <w:pPr>
        <w:pStyle w:val="13"/>
        <w:shd w:val="clear" w:color="auto" w:fill="FFFFFF"/>
        <w:spacing w:before="0" w:beforeAutospacing="0" w:after="0" w:afterAutospacing="0" w:line="560" w:lineRule="exact"/>
        <w:jc w:val="center"/>
        <w:rPr>
          <w:rFonts w:ascii="方正小标宋简体" w:hAnsi="方正小标宋_GBK" w:eastAsia="方正小标宋简体" w:cs="Helvetica"/>
          <w:color w:val="000000"/>
          <w:sz w:val="44"/>
          <w:szCs w:val="44"/>
        </w:rPr>
      </w:pPr>
      <w:r>
        <w:rPr>
          <w:rFonts w:hint="eastAsia" w:ascii="方正小标宋简体" w:hAnsi="方正小标宋_GBK" w:eastAsia="方正小标宋简体" w:cs="Helvetica"/>
          <w:color w:val="000000"/>
          <w:sz w:val="44"/>
          <w:szCs w:val="44"/>
        </w:rPr>
        <w:t>佛坪县2023年度财政重点预算绩效</w:t>
      </w:r>
    </w:p>
    <w:p w14:paraId="1A130D93">
      <w:pPr>
        <w:pStyle w:val="13"/>
        <w:shd w:val="clear" w:color="auto" w:fill="FFFFFF"/>
        <w:spacing w:before="0" w:beforeAutospacing="0" w:after="0" w:afterAutospacing="0" w:line="560" w:lineRule="exact"/>
        <w:jc w:val="center"/>
        <w:rPr>
          <w:rFonts w:hint="eastAsia" w:ascii="方正小标宋简体" w:hAnsi="方正小标宋_GBK" w:eastAsia="方正小标宋简体" w:cs="Helvetica"/>
          <w:color w:val="000000"/>
          <w:sz w:val="44"/>
          <w:szCs w:val="44"/>
        </w:rPr>
      </w:pPr>
      <w:r>
        <w:rPr>
          <w:rFonts w:hint="eastAsia" w:ascii="方正小标宋简体" w:hAnsi="方正小标宋_GBK" w:eastAsia="方正小标宋简体" w:cs="Helvetica"/>
          <w:color w:val="000000"/>
          <w:sz w:val="44"/>
          <w:szCs w:val="44"/>
        </w:rPr>
        <w:t>评价结果的说明</w:t>
      </w:r>
    </w:p>
    <w:p w14:paraId="60F6AE44">
      <w:pPr>
        <w:pStyle w:val="13"/>
        <w:shd w:val="clear" w:color="auto" w:fill="FFFFFF"/>
        <w:spacing w:before="0" w:beforeAutospacing="0" w:after="0" w:afterAutospacing="0" w:line="560" w:lineRule="exact"/>
        <w:jc w:val="center"/>
        <w:rPr>
          <w:rFonts w:hint="eastAsia" w:ascii="方正小标宋简体" w:hAnsi="方正小标宋_GBK" w:eastAsia="方正小标宋简体" w:cs="Helvetica"/>
          <w:color w:val="000000"/>
          <w:sz w:val="44"/>
          <w:szCs w:val="44"/>
        </w:rPr>
      </w:pPr>
    </w:p>
    <w:p w14:paraId="67FC9046">
      <w:pPr>
        <w:spacing w:line="560" w:lineRule="exact"/>
        <w:ind w:firstLine="640"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color w:val="000000"/>
          <w:sz w:val="32"/>
          <w:szCs w:val="32"/>
        </w:rPr>
        <w:t>本次共</w:t>
      </w:r>
      <w:r>
        <w:rPr>
          <w:rFonts w:hint="eastAsia" w:ascii="仿宋_GB2312" w:hAnsi="仿宋_GB2312" w:eastAsia="仿宋_GB2312" w:cs="仿宋_GB2312"/>
          <w:spacing w:val="-6"/>
          <w:sz w:val="32"/>
          <w:szCs w:val="32"/>
        </w:rPr>
        <w:t>选取2023年度8个项目支出、2个部门整体支出开展财政重点绩效评价</w:t>
      </w:r>
      <w:r>
        <w:rPr>
          <w:rFonts w:hint="eastAsia" w:ascii="仿宋_GB2312" w:hAnsi="仿宋_GB2312" w:eastAsia="仿宋_GB2312" w:cs="仿宋_GB2312"/>
          <w:spacing w:val="-6"/>
          <w:kern w:val="0"/>
          <w:sz w:val="32"/>
          <w:szCs w:val="32"/>
        </w:rPr>
        <w:t>，范围涵盖一般公共预算、政府性基金预算、社保基金预算、国有资本经营预算，涉及民生保障、教育环保、城镇化建设等重点领域，包含重点项目和部门整体支出绩效评价。评价结果为“优”等次6个，占比60%，结果为“良”等次4个，占比40%。具体如下：</w:t>
      </w:r>
    </w:p>
    <w:p w14:paraId="5F37BF65">
      <w:pPr>
        <w:pStyle w:val="1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1.佛坪县人力资源和社会保障局部门整体支出项目绩效评价得分92.43，评价等次为“优”。</w:t>
      </w:r>
    </w:p>
    <w:p w14:paraId="78B66A18">
      <w:pPr>
        <w:pStyle w:val="7"/>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2.佛坪县交通运输管理局部门整体支出项目绩效评价得分87.18，评价等次为“良”。</w:t>
      </w:r>
    </w:p>
    <w:p w14:paraId="091103D9">
      <w:pPr>
        <w:pStyle w:val="1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color w:val="000000"/>
          <w:sz w:val="32"/>
          <w:szCs w:val="32"/>
        </w:rPr>
        <w:t>2023年度城镇化发展专项资金项目绩效评价得分87.67，评价等次为“良”。</w:t>
      </w:r>
    </w:p>
    <w:p w14:paraId="6CCD4950">
      <w:pPr>
        <w:pStyle w:val="13"/>
        <w:shd w:val="clear" w:color="auto" w:fill="FFFFFF"/>
        <w:spacing w:before="0" w:beforeAutospacing="0" w:after="0" w:afterAutospacing="0"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2023年改善普通高中学校办学条件补助资金项目绩效评价得分93.63分，评价等次为“优”。</w:t>
      </w:r>
    </w:p>
    <w:p w14:paraId="1A8265B8">
      <w:pPr>
        <w:pStyle w:val="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5.2023年就业补助资金项目绩效评价得分93.5，评价等次为“优”。</w:t>
      </w:r>
    </w:p>
    <w:p w14:paraId="17850DCD">
      <w:pPr>
        <w:pStyle w:val="1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lang w:eastAsia="zh-Hans"/>
        </w:rPr>
      </w:pPr>
      <w:r>
        <w:rPr>
          <w:rFonts w:hint="eastAsia" w:ascii="仿宋_GB2312" w:hAnsi="仿宋_GB2312" w:eastAsia="仿宋_GB2312" w:cs="仿宋_GB2312"/>
          <w:color w:val="000000"/>
          <w:sz w:val="32"/>
          <w:szCs w:val="32"/>
        </w:rPr>
        <w:t>6.2023年陈家坝镇美丽乡村建设项目绩效评价得分87.8，评价等次为“良”。</w:t>
      </w:r>
    </w:p>
    <w:p w14:paraId="666F2FA9">
      <w:pPr>
        <w:pStyle w:val="13"/>
        <w:widowControl w:val="0"/>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7.佛坪县2023年基本养老保险财政补贴绩效评价项目绩效评价得分90.1分，评价等次为“优”。</w:t>
      </w:r>
    </w:p>
    <w:p w14:paraId="52845D74">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8.薅林湾村排洪渠建设及土地整理项目绩效评价得分96.13分，评价等次为“优”。</w:t>
      </w:r>
    </w:p>
    <w:p w14:paraId="3B021D08">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Hans"/>
        </w:rPr>
        <w:t>9.2023</w:t>
      </w:r>
      <w:r>
        <w:rPr>
          <w:rFonts w:hint="eastAsia" w:ascii="仿宋_GB2312" w:hAnsi="仿宋_GB2312" w:eastAsia="仿宋_GB2312" w:cs="仿宋_GB2312"/>
          <w:sz w:val="32"/>
          <w:szCs w:val="32"/>
        </w:rPr>
        <w:t>年三河口库区水土保持项目绩效评价得分90.32，评价等次为“优”。</w:t>
      </w:r>
    </w:p>
    <w:p w14:paraId="7051BF2F">
      <w:pPr>
        <w:ind w:firstLine="640" w:firstLineChars="200"/>
      </w:pPr>
      <w:r>
        <w:rPr>
          <w:rFonts w:hint="eastAsia" w:ascii="仿宋_GB2312" w:hAnsi="仿宋_GB2312" w:eastAsia="仿宋_GB2312" w:cs="仿宋_GB2312"/>
          <w:color w:val="000000"/>
          <w:sz w:val="32"/>
          <w:szCs w:val="32"/>
        </w:rPr>
        <w:t>10.2023年国有资本经营预算项目绩效评价得分87.05，评价等次为“良”。</w:t>
      </w:r>
    </w:p>
    <w:p w14:paraId="6A2FAF0D">
      <w:pPr>
        <w:keepNext w:val="0"/>
        <w:keepLines w:val="0"/>
        <w:pageBreakBefore w:val="0"/>
        <w:tabs>
          <w:tab w:val="left" w:pos="3164"/>
        </w:tabs>
        <w:kinsoku/>
        <w:wordWrap/>
        <w:overflowPunct/>
        <w:topLinePunct w:val="0"/>
        <w:autoSpaceDE/>
        <w:autoSpaceDN/>
        <w:bidi w:val="0"/>
        <w:adjustRightInd/>
        <w:snapToGrid/>
        <w:spacing w:line="560" w:lineRule="exact"/>
        <w:jc w:val="left"/>
        <w:textAlignment w:val="auto"/>
        <w:rPr>
          <w:rFonts w:hint="eastAsia"/>
          <w:lang w:val="en-US" w:eastAsia="zh-CN"/>
        </w:rPr>
      </w:pPr>
    </w:p>
    <w:sectPr>
      <w:footerReference r:id="rId3" w:type="default"/>
      <w:pgSz w:w="11906" w:h="16838"/>
      <w:pgMar w:top="1503" w:right="1701" w:bottom="1446" w:left="181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DD9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B0B661C">
                          <w:pPr>
                            <w:pStyle w:val="11"/>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PShnu1AEAAKUDAAAOAAAAAAAAAAEAIAAAAB8B&#10;AABkcnMvZTJvRG9jLnhtbFBLBQYAAAAABgAGAFkBAABlBQAAAAA=&#10;">
              <v:fill on="f" focussize="0,0"/>
              <v:stroke on="f" weight="0.5pt"/>
              <v:imagedata o:title=""/>
              <o:lock v:ext="edit" aspectratio="f"/>
              <v:textbox inset="0mm,0mm,0mm,0mm" style="mso-fit-shape-to-text:t;">
                <w:txbxContent>
                  <w:p w14:paraId="3B0B661C">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MjdjMTE0NTIyNmU1OTYxMzMzYTdkOGVhMjA2OTMifQ=="/>
  </w:docVars>
  <w:rsids>
    <w:rsidRoot w:val="00000000"/>
    <w:rsid w:val="180918B6"/>
    <w:rsid w:val="31394B4B"/>
    <w:rsid w:val="3EEC5849"/>
    <w:rsid w:val="3EF16159"/>
    <w:rsid w:val="54A14F58"/>
    <w:rsid w:val="6F6B74D0"/>
    <w:rsid w:val="704B1C1B"/>
    <w:rsid w:val="7D2F4C3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name="annotation text" w:locked="1"/>
    <w:lsdException w:qFormat="1" w:unhideWhenUsed="0" w:uiPriority="0"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20" w:semiHidden="0" w:name="Emphasis" w:locked="1"/>
    <w:lsdException w:qFormat="1" w:unhideWhenUsed="0" w:uiPriority="0"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locked/>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Document Map"/>
    <w:basedOn w:val="1"/>
    <w:semiHidden/>
    <w:qFormat/>
    <w:locked/>
    <w:uiPriority w:val="0"/>
    <w:pPr>
      <w:shd w:val="clear" w:color="auto" w:fill="000080"/>
    </w:pPr>
  </w:style>
  <w:style w:type="paragraph" w:styleId="6">
    <w:name w:val="annotation text"/>
    <w:basedOn w:val="1"/>
    <w:semiHidden/>
    <w:unhideWhenUsed/>
    <w:qFormat/>
    <w:locked/>
    <w:uiPriority w:val="99"/>
    <w:pPr>
      <w:jc w:val="left"/>
    </w:pPr>
  </w:style>
  <w:style w:type="paragraph" w:styleId="7">
    <w:name w:val="Body Text"/>
    <w:basedOn w:val="1"/>
    <w:qFormat/>
    <w:locked/>
    <w:uiPriority w:val="0"/>
    <w:pPr>
      <w:spacing w:after="120"/>
    </w:pPr>
  </w:style>
  <w:style w:type="paragraph" w:styleId="8">
    <w:name w:val="Body Text Indent"/>
    <w:basedOn w:val="1"/>
    <w:qFormat/>
    <w:locked/>
    <w:uiPriority w:val="0"/>
    <w:pPr>
      <w:spacing w:after="120" w:afterLines="0" w:afterAutospacing="0"/>
      <w:ind w:left="420" w:leftChars="200"/>
    </w:pPr>
  </w:style>
  <w:style w:type="paragraph" w:styleId="9">
    <w:name w:val="Date"/>
    <w:basedOn w:val="1"/>
    <w:next w:val="1"/>
    <w:qFormat/>
    <w:uiPriority w:val="99"/>
    <w:pPr>
      <w:ind w:left="100" w:leftChars="25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2"/>
    <w:basedOn w:val="8"/>
    <w:qFormat/>
    <w:locked/>
    <w:uiPriority w:val="0"/>
    <w:pPr>
      <w:ind w:firstLine="420" w:firstLineChars="200"/>
    </w:pPr>
  </w:style>
  <w:style w:type="table" w:styleId="16">
    <w:name w:val="Table Grid"/>
    <w:basedOn w:val="15"/>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locked/>
    <w:uiPriority w:val="99"/>
    <w:rPr>
      <w:rFonts w:cs="Times New Roman"/>
      <w:b/>
    </w:rPr>
  </w:style>
  <w:style w:type="character" w:styleId="19">
    <w:name w:val="page number"/>
    <w:qFormat/>
    <w:locked/>
    <w:uiPriority w:val="0"/>
  </w:style>
  <w:style w:type="character" w:customStyle="1" w:styleId="20">
    <w:name w:val="标题 1 字符"/>
    <w:link w:val="2"/>
    <w:qFormat/>
    <w:locked/>
    <w:uiPriority w:val="99"/>
    <w:rPr>
      <w:rFonts w:ascii="Calibri" w:hAnsi="Calibri" w:eastAsia="宋体" w:cs="Times New Roman"/>
      <w:b/>
      <w:kern w:val="44"/>
      <w:sz w:val="44"/>
      <w:lang w:val="en-US" w:eastAsia="zh-CN"/>
    </w:rPr>
  </w:style>
  <w:style w:type="character" w:customStyle="1" w:styleId="21">
    <w:name w:val="标题 2 字符"/>
    <w:link w:val="3"/>
    <w:qFormat/>
    <w:locked/>
    <w:uiPriority w:val="99"/>
    <w:rPr>
      <w:rFonts w:ascii="Arial" w:hAnsi="Arial" w:eastAsia="黑体" w:cs="Times New Roman"/>
      <w:b/>
      <w:kern w:val="2"/>
      <w:sz w:val="32"/>
      <w:lang w:val="en-US" w:eastAsia="zh-CN"/>
    </w:rPr>
  </w:style>
  <w:style w:type="character" w:customStyle="1" w:styleId="22">
    <w:name w:val="页眉 字符"/>
    <w:qFormat/>
    <w:locked/>
    <w:uiPriority w:val="99"/>
    <w:rPr>
      <w:rFonts w:cs="Times New Roman"/>
      <w:kern w:val="2"/>
      <w:sz w:val="18"/>
      <w:szCs w:val="18"/>
    </w:rPr>
  </w:style>
  <w:style w:type="character" w:customStyle="1" w:styleId="23">
    <w:name w:val="页脚 字符"/>
    <w:qFormat/>
    <w:locked/>
    <w:uiPriority w:val="99"/>
    <w:rPr>
      <w:rFonts w:cs="Times New Roman"/>
      <w:kern w:val="2"/>
      <w:sz w:val="18"/>
      <w:szCs w:val="18"/>
    </w:rPr>
  </w:style>
  <w:style w:type="character" w:customStyle="1" w:styleId="24">
    <w:name w:val="日期 字符"/>
    <w:qFormat/>
    <w:locked/>
    <w:uiPriority w:val="99"/>
    <w:rPr>
      <w:rFonts w:ascii="Calibri" w:hAnsi="Calibri" w:eastAsia="宋体" w:cs="Times New Roman"/>
      <w:kern w:val="2"/>
      <w:sz w:val="24"/>
      <w:szCs w:val="24"/>
      <w:lang w:val="en-US" w:eastAsia="zh-CN" w:bidi="ar-SA"/>
    </w:rPr>
  </w:style>
  <w:style w:type="character" w:customStyle="1" w:styleId="25">
    <w:name w:val="批注框文本 字符"/>
    <w:qFormat/>
    <w:locked/>
    <w:uiPriority w:val="99"/>
    <w:rPr>
      <w:rFonts w:ascii="Calibri" w:hAnsi="Calibri" w:eastAsia="宋体" w:cs="Times New Roman"/>
      <w:kern w:val="2"/>
      <w:sz w:val="18"/>
      <w:szCs w:val="18"/>
      <w:lang w:val="en-US" w:eastAsia="zh-CN" w:bidi="ar-SA"/>
    </w:rPr>
  </w:style>
  <w:style w:type="character" w:customStyle="1" w:styleId="26">
    <w:name w:val="font21"/>
    <w:qFormat/>
    <w:uiPriority w:val="99"/>
    <w:rPr>
      <w:rFonts w:ascii="宋体" w:hAnsi="宋体" w:eastAsia="宋体" w:cs="宋体"/>
      <w:color w:val="000000"/>
      <w:sz w:val="21"/>
      <w:szCs w:val="21"/>
      <w:u w:val="none"/>
    </w:rPr>
  </w:style>
  <w:style w:type="character" w:customStyle="1" w:styleId="27">
    <w:name w:val="font11"/>
    <w:qFormat/>
    <w:uiPriority w:val="99"/>
    <w:rPr>
      <w:rFonts w:ascii="宋体" w:hAnsi="宋体" w:eastAsia="宋体" w:cs="宋体"/>
      <w:color w:val="000000"/>
      <w:sz w:val="21"/>
      <w:szCs w:val="21"/>
      <w:u w:val="none"/>
    </w:rPr>
  </w:style>
  <w:style w:type="character" w:customStyle="1" w:styleId="28">
    <w:name w:val="font01"/>
    <w:qFormat/>
    <w:uiPriority w:val="99"/>
    <w:rPr>
      <w:rFonts w:ascii="Calibri" w:hAnsi="Calibri" w:cs="Calibri"/>
      <w:color w:val="000000"/>
      <w:sz w:val="21"/>
      <w:szCs w:val="21"/>
      <w:u w:val="none"/>
    </w:rPr>
  </w:style>
  <w:style w:type="character" w:customStyle="1" w:styleId="29">
    <w:name w:val="font51"/>
    <w:qFormat/>
    <w:uiPriority w:val="99"/>
    <w:rPr>
      <w:rFonts w:ascii="宋体" w:hAnsi="宋体" w:eastAsia="宋体" w:cs="宋体"/>
      <w:color w:val="000000"/>
      <w:sz w:val="21"/>
      <w:szCs w:val="21"/>
      <w:u w:val="none"/>
    </w:rPr>
  </w:style>
  <w:style w:type="paragraph" w:customStyle="1" w:styleId="30">
    <w:name w:val="WPSOffice手动目录 1"/>
    <w:qFormat/>
    <w:uiPriority w:val="99"/>
    <w:rPr>
      <w:rFonts w:ascii="Times New Roman" w:hAnsi="Times New Roman" w:eastAsia="宋体" w:cs="Times New Roman"/>
      <w:lang w:val="en-US" w:eastAsia="zh-CN" w:bidi="ar-SA"/>
    </w:rPr>
  </w:style>
  <w:style w:type="paragraph" w:customStyle="1" w:styleId="31">
    <w:name w:val="WPSOffice手动目录 2"/>
    <w:qFormat/>
    <w:uiPriority w:val="99"/>
    <w:pPr>
      <w:ind w:left="200" w:leftChars="200"/>
    </w:pPr>
    <w:rPr>
      <w:rFonts w:ascii="Times New Roman" w:hAnsi="Times New Roman" w:eastAsia="宋体" w:cs="Times New Roman"/>
      <w:lang w:val="en-US" w:eastAsia="zh-CN" w:bidi="ar-SA"/>
    </w:rPr>
  </w:style>
  <w:style w:type="paragraph" w:styleId="32">
    <w:name w:val="List Paragraph"/>
    <w:basedOn w:val="1"/>
    <w:qFormat/>
    <w:uiPriority w:val="99"/>
    <w:pPr>
      <w:ind w:firstLine="420" w:firstLineChars="200"/>
    </w:pPr>
  </w:style>
  <w:style w:type="paragraph" w:customStyle="1" w:styleId="33">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34">
    <w:name w:val="文档结构图 字符"/>
    <w:semiHidden/>
    <w:qFormat/>
    <w:uiPriority w:val="0"/>
    <w:rPr>
      <w:kern w:val="2"/>
      <w:sz w:val="21"/>
      <w:szCs w:val="24"/>
      <w:shd w:val="clear" w:color="auto" w:fill="000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2603</Words>
  <Characters>2912</Characters>
  <Lines>225</Lines>
  <Paragraphs>63</Paragraphs>
  <TotalTime>1</TotalTime>
  <ScaleCrop>false</ScaleCrop>
  <LinksUpToDate>false</LinksUpToDate>
  <CharactersWithSpaces>2920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2023-10-11T01:36:00Z</dcterms:created>
  <dc:creator>万婷</dc:creator>
  <cp:lastModifiedBy>Perfect。</cp:lastModifiedBy>
  <dcterms:modified xsi:type="dcterms:W3CDTF">2025-01-13T07:49:14Z</dcterms:modified>
  <dc:title>佛坪县2018年财政决算说明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B8902D31D97C4F6B906AFD6306E2B00F_13</vt:lpwstr>
  </property>
  <property fmtid="{D5CDD505-2E9C-101B-9397-08002B2CF9AE}" pid="4" name="KSOTemplateDocerSaveRecord">
    <vt:lpwstr>eyJoZGlkIjoiZTEzMjdjMTE0NTIyNmU1OTYxMzMzYTdkOGVhMjA2OTMiLCJ1c2VySWQiOiI2MjM0NDMxMzgifQ==</vt:lpwstr>
  </property>
</Properties>
</file>