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佛坪县2022年财政决算补充说明</w:t>
      </w:r>
    </w:p>
    <w:p>
      <w:pPr>
        <w:rPr>
          <w:rFonts w:ascii="黑体" w:hAnsi="黑体" w:eastAsia="黑体" w:cs="黑体"/>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w:t>
      </w:r>
      <w:r>
        <w:rPr>
          <w:rFonts w:ascii="方正小标宋简体" w:hAnsi="方正小标宋简体" w:eastAsia="方正小标宋简体" w:cs="方正小标宋简体"/>
          <w:sz w:val="36"/>
          <w:szCs w:val="36"/>
        </w:rPr>
        <w:t>2022</w:t>
      </w:r>
      <w:r>
        <w:rPr>
          <w:rFonts w:hint="eastAsia" w:ascii="方正小标宋简体" w:hAnsi="方正小标宋简体" w:eastAsia="方正小标宋简体" w:cs="方正小标宋简体"/>
          <w:sz w:val="36"/>
          <w:szCs w:val="36"/>
        </w:rPr>
        <w:t>年转移支付执行情况说明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、一般公共预算转移支付执行情况说明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年，省市下达我县转移支付资金</w:t>
      </w:r>
      <w:r>
        <w:rPr>
          <w:rFonts w:ascii="仿宋_GB2312" w:hAnsi="仿宋" w:eastAsia="仿宋_GB2312"/>
          <w:sz w:val="32"/>
          <w:szCs w:val="32"/>
        </w:rPr>
        <w:t>98268</w:t>
      </w:r>
      <w:r>
        <w:rPr>
          <w:rFonts w:hint="eastAsia" w:ascii="仿宋_GB2312" w:hAnsi="仿宋" w:eastAsia="仿宋_GB2312"/>
          <w:sz w:val="32"/>
          <w:szCs w:val="32"/>
        </w:rPr>
        <w:t>万元，较上年增加</w:t>
      </w:r>
      <w:r>
        <w:rPr>
          <w:rFonts w:ascii="仿宋_GB2312" w:hAnsi="仿宋" w:eastAsia="仿宋_GB2312"/>
          <w:sz w:val="32"/>
          <w:szCs w:val="32"/>
        </w:rPr>
        <w:t>5172</w:t>
      </w:r>
      <w:r>
        <w:rPr>
          <w:rFonts w:hint="eastAsia" w:ascii="仿宋_GB2312" w:hAnsi="仿宋" w:eastAsia="仿宋_GB2312"/>
          <w:sz w:val="32"/>
          <w:szCs w:val="32"/>
        </w:rPr>
        <w:t>万元，其中返还性收入</w:t>
      </w:r>
      <w:r>
        <w:rPr>
          <w:rFonts w:ascii="仿宋_GB2312" w:hAnsi="仿宋" w:eastAsia="仿宋_GB2312"/>
          <w:sz w:val="32"/>
          <w:szCs w:val="32"/>
        </w:rPr>
        <w:t>438</w:t>
      </w:r>
      <w:r>
        <w:rPr>
          <w:rFonts w:hint="eastAsia" w:ascii="仿宋_GB2312" w:hAnsi="仿宋" w:eastAsia="仿宋_GB2312"/>
          <w:sz w:val="32"/>
          <w:szCs w:val="32"/>
        </w:rPr>
        <w:t>万元，一般性转移支付</w:t>
      </w:r>
      <w:r>
        <w:rPr>
          <w:rFonts w:ascii="仿宋_GB2312" w:hAnsi="仿宋" w:eastAsia="仿宋_GB2312"/>
          <w:sz w:val="32"/>
          <w:szCs w:val="32"/>
        </w:rPr>
        <w:t>82431</w:t>
      </w:r>
      <w:r>
        <w:rPr>
          <w:rFonts w:hint="eastAsia" w:ascii="仿宋_GB2312" w:hAnsi="仿宋" w:eastAsia="仿宋_GB2312"/>
          <w:sz w:val="32"/>
          <w:szCs w:val="32"/>
        </w:rPr>
        <w:t>万元，专项转移支付</w:t>
      </w:r>
      <w:r>
        <w:rPr>
          <w:rFonts w:ascii="仿宋_GB2312" w:hAnsi="仿宋" w:eastAsia="仿宋_GB2312"/>
          <w:sz w:val="32"/>
          <w:szCs w:val="32"/>
        </w:rPr>
        <w:t>15399</w:t>
      </w:r>
      <w:r>
        <w:rPr>
          <w:rFonts w:hint="eastAsia" w:ascii="仿宋_GB2312" w:hAnsi="仿宋" w:eastAsia="仿宋_GB2312"/>
          <w:sz w:val="32"/>
          <w:szCs w:val="32"/>
        </w:rPr>
        <w:t>万元。一般性转移支付中</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均衡性转移支付</w:t>
      </w:r>
      <w:r>
        <w:rPr>
          <w:rFonts w:ascii="仿宋_GB2312" w:hAnsi="仿宋" w:eastAsia="仿宋_GB2312"/>
          <w:sz w:val="32"/>
          <w:szCs w:val="32"/>
        </w:rPr>
        <w:t>32374</w:t>
      </w:r>
      <w:r>
        <w:rPr>
          <w:rFonts w:hint="eastAsia" w:ascii="仿宋_GB2312" w:hAnsi="仿宋" w:eastAsia="仿宋_GB2312"/>
          <w:sz w:val="32"/>
          <w:szCs w:val="32"/>
        </w:rPr>
        <w:t>万元，生态功能区转移支付</w:t>
      </w:r>
      <w:r>
        <w:rPr>
          <w:rFonts w:ascii="仿宋_GB2312" w:hAnsi="仿宋" w:eastAsia="仿宋_GB2312"/>
          <w:sz w:val="32"/>
          <w:szCs w:val="32"/>
        </w:rPr>
        <w:t>6238</w:t>
      </w:r>
      <w:r>
        <w:rPr>
          <w:rFonts w:hint="eastAsia" w:ascii="仿宋_GB2312" w:hAnsi="仿宋" w:eastAsia="仿宋_GB2312"/>
          <w:sz w:val="32"/>
          <w:szCs w:val="32"/>
        </w:rPr>
        <w:t>万元，县级基本财力保障及奖补资金</w:t>
      </w:r>
      <w:r>
        <w:rPr>
          <w:rFonts w:ascii="仿宋_GB2312" w:hAnsi="仿宋" w:eastAsia="仿宋_GB2312"/>
          <w:sz w:val="32"/>
          <w:szCs w:val="32"/>
        </w:rPr>
        <w:t>5719</w:t>
      </w:r>
      <w:r>
        <w:rPr>
          <w:rFonts w:hint="eastAsia" w:ascii="仿宋_GB2312" w:hAnsi="仿宋" w:eastAsia="仿宋_GB2312"/>
          <w:sz w:val="32"/>
          <w:szCs w:val="32"/>
        </w:rPr>
        <w:t>万元。县财政坚持财力向基层倾斜，进一步加大对镇级的转移支付力度，下达镇级转移支付资金</w:t>
      </w:r>
      <w:r>
        <w:rPr>
          <w:rFonts w:ascii="仿宋_GB2312" w:hAnsi="仿宋" w:eastAsia="仿宋_GB2312"/>
          <w:sz w:val="32"/>
          <w:szCs w:val="32"/>
        </w:rPr>
        <w:t>12419</w:t>
      </w:r>
      <w:r>
        <w:rPr>
          <w:rFonts w:hint="eastAsia" w:ascii="仿宋_GB2312" w:hAnsi="仿宋" w:eastAsia="仿宋_GB2312"/>
          <w:sz w:val="32"/>
          <w:szCs w:val="32"/>
        </w:rPr>
        <w:t>万元，</w:t>
      </w:r>
      <w:r>
        <w:rPr>
          <w:rFonts w:hint="eastAsia" w:ascii="仿宋_GB2312" w:hAnsi="仿宋_GB2312" w:eastAsia="仿宋_GB2312" w:cs="仿宋_GB2312"/>
          <w:sz w:val="32"/>
          <w:szCs w:val="32"/>
        </w:rPr>
        <w:t>较上年增加</w:t>
      </w:r>
      <w:r>
        <w:rPr>
          <w:rFonts w:ascii="仿宋_GB2312" w:hAnsi="仿宋_GB2312" w:eastAsia="仿宋_GB2312" w:cs="仿宋_GB2312"/>
          <w:sz w:val="32"/>
          <w:szCs w:val="32"/>
        </w:rPr>
        <w:t>930</w:t>
      </w:r>
      <w:r>
        <w:rPr>
          <w:rFonts w:hint="eastAsia" w:ascii="仿宋_GB2312" w:hAnsi="仿宋_GB2312" w:eastAsia="仿宋_GB2312" w:cs="仿宋_GB2312"/>
          <w:sz w:val="32"/>
          <w:szCs w:val="32"/>
        </w:rPr>
        <w:t>万元，</w:t>
      </w:r>
      <w:r>
        <w:rPr>
          <w:rFonts w:hint="eastAsia" w:ascii="仿宋_GB2312" w:hAnsi="仿宋" w:eastAsia="仿宋_GB2312"/>
          <w:sz w:val="32"/>
          <w:szCs w:val="32"/>
        </w:rPr>
        <w:t>其中一般性转移支付</w:t>
      </w:r>
      <w:r>
        <w:rPr>
          <w:rFonts w:ascii="仿宋_GB2312" w:hAnsi="仿宋" w:eastAsia="仿宋_GB2312"/>
          <w:sz w:val="32"/>
          <w:szCs w:val="32"/>
        </w:rPr>
        <w:t>5683</w:t>
      </w:r>
      <w:r>
        <w:rPr>
          <w:rFonts w:hint="eastAsia" w:ascii="仿宋_GB2312" w:hAnsi="仿宋" w:eastAsia="仿宋_GB2312"/>
          <w:sz w:val="32"/>
          <w:szCs w:val="32"/>
        </w:rPr>
        <w:t>万元，专项转移支付</w:t>
      </w:r>
      <w:r>
        <w:rPr>
          <w:rFonts w:ascii="仿宋_GB2312" w:hAnsi="仿宋" w:eastAsia="仿宋_GB2312"/>
          <w:sz w:val="32"/>
          <w:szCs w:val="32"/>
        </w:rPr>
        <w:t>6736</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、政府性基金转移支付执行情况说明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年上级下达我县政府性基金专项转移支付</w:t>
      </w:r>
      <w:r>
        <w:rPr>
          <w:rFonts w:ascii="仿宋_GB2312" w:hAnsi="仿宋" w:eastAsia="仿宋_GB2312"/>
          <w:sz w:val="32"/>
          <w:szCs w:val="32"/>
        </w:rPr>
        <w:t>621</w:t>
      </w:r>
      <w:r>
        <w:rPr>
          <w:rFonts w:hint="eastAsia" w:ascii="仿宋_GB2312" w:hAnsi="仿宋" w:eastAsia="仿宋_GB2312"/>
          <w:sz w:val="32"/>
          <w:szCs w:val="32"/>
        </w:rPr>
        <w:t>万元，主要用于大中型水库移民后期扶持支出及彩票公益金安排的支出。当年无对下转移支付。</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、国有资本经营预算转移支付执行情况说明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年上级下达我县国有资本经营预算转移支付</w:t>
      </w:r>
      <w:r>
        <w:rPr>
          <w:rFonts w:ascii="仿宋_GB2312" w:hAnsi="仿宋" w:eastAsia="仿宋_GB2312"/>
          <w:sz w:val="32"/>
          <w:szCs w:val="32"/>
        </w:rPr>
        <w:t>2</w:t>
      </w:r>
      <w:r>
        <w:rPr>
          <w:rFonts w:hint="eastAsia" w:ascii="仿宋_GB2312" w:hAnsi="仿宋" w:eastAsia="仿宋_GB2312"/>
          <w:sz w:val="32"/>
          <w:szCs w:val="32"/>
        </w:rPr>
        <w:t>万元，主要用于解决历史遗留问题及改革成本支出，无对下转移支付。</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佛坪县2022年举借债务情况说明</w:t>
      </w:r>
    </w:p>
    <w:p>
      <w:pPr>
        <w:spacing w:line="560" w:lineRule="exact"/>
        <w:ind w:firstLine="64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年初，我县政府债务余额</w:t>
      </w:r>
      <w:r>
        <w:rPr>
          <w:rFonts w:ascii="仿宋_GB2312" w:hAnsi="仿宋" w:eastAsia="仿宋_GB2312"/>
          <w:sz w:val="32"/>
          <w:szCs w:val="32"/>
        </w:rPr>
        <w:t>31424</w:t>
      </w:r>
      <w:r>
        <w:rPr>
          <w:rFonts w:hint="eastAsia" w:ascii="仿宋_GB2312" w:hAnsi="仿宋" w:eastAsia="仿宋_GB2312"/>
          <w:sz w:val="32"/>
          <w:szCs w:val="32"/>
        </w:rPr>
        <w:t>万元，其中：一般债务</w:t>
      </w:r>
      <w:r>
        <w:rPr>
          <w:rFonts w:ascii="仿宋_GB2312" w:hAnsi="仿宋" w:eastAsia="仿宋_GB2312"/>
          <w:sz w:val="32"/>
          <w:szCs w:val="32"/>
        </w:rPr>
        <w:t>20802</w:t>
      </w:r>
      <w:r>
        <w:rPr>
          <w:rFonts w:hint="eastAsia" w:ascii="仿宋_GB2312" w:hAnsi="仿宋" w:eastAsia="仿宋_GB2312"/>
          <w:sz w:val="32"/>
          <w:szCs w:val="32"/>
        </w:rPr>
        <w:t>万元，专项债务</w:t>
      </w:r>
      <w:r>
        <w:rPr>
          <w:rFonts w:ascii="仿宋_GB2312" w:hAnsi="仿宋" w:eastAsia="仿宋_GB2312"/>
          <w:sz w:val="32"/>
          <w:szCs w:val="32"/>
        </w:rPr>
        <w:t>10622</w:t>
      </w:r>
      <w:r>
        <w:rPr>
          <w:rFonts w:hint="eastAsia" w:ascii="仿宋_GB2312" w:hAnsi="仿宋" w:eastAsia="仿宋_GB2312"/>
          <w:sz w:val="32"/>
          <w:szCs w:val="32"/>
        </w:rPr>
        <w:t>万元。经市人大常委会批准，市财政局核定下达我县</w:t>
      </w:r>
      <w:r>
        <w:rPr>
          <w:rFonts w:ascii="仿宋_GB2312" w:hAnsi="仿宋" w:eastAsia="仿宋_GB2312"/>
          <w:sz w:val="32"/>
          <w:szCs w:val="32"/>
        </w:rPr>
        <w:t>2022</w:t>
      </w:r>
      <w:r>
        <w:rPr>
          <w:rFonts w:hint="eastAsia" w:ascii="仿宋_GB2312" w:hAnsi="仿宋" w:eastAsia="仿宋_GB2312"/>
          <w:sz w:val="32"/>
          <w:szCs w:val="32"/>
        </w:rPr>
        <w:t>年地方政府债务限额</w:t>
      </w:r>
      <w:r>
        <w:rPr>
          <w:rFonts w:ascii="仿宋_GB2312" w:hAnsi="仿宋" w:eastAsia="仿宋_GB2312"/>
          <w:sz w:val="32"/>
          <w:szCs w:val="32"/>
        </w:rPr>
        <w:t>49200</w:t>
      </w:r>
      <w:r>
        <w:rPr>
          <w:rFonts w:hint="eastAsia" w:ascii="仿宋_GB2312" w:hAnsi="仿宋" w:eastAsia="仿宋_GB2312"/>
          <w:sz w:val="32"/>
          <w:szCs w:val="32"/>
        </w:rPr>
        <w:t>万元（其中：一般债务限额</w:t>
      </w:r>
      <w:r>
        <w:rPr>
          <w:rFonts w:ascii="仿宋_GB2312" w:hAnsi="仿宋" w:eastAsia="仿宋_GB2312"/>
          <w:sz w:val="32"/>
          <w:szCs w:val="32"/>
        </w:rPr>
        <w:t>30900</w:t>
      </w:r>
      <w:r>
        <w:rPr>
          <w:rFonts w:hint="eastAsia" w:ascii="仿宋_GB2312" w:hAnsi="仿宋" w:eastAsia="仿宋_GB2312"/>
          <w:sz w:val="32"/>
          <w:szCs w:val="32"/>
        </w:rPr>
        <w:t>万元，专项债务限额</w:t>
      </w:r>
      <w:r>
        <w:rPr>
          <w:rFonts w:ascii="仿宋_GB2312" w:hAnsi="仿宋" w:eastAsia="仿宋_GB2312"/>
          <w:sz w:val="32"/>
          <w:szCs w:val="32"/>
        </w:rPr>
        <w:t>18300</w:t>
      </w:r>
      <w:r>
        <w:rPr>
          <w:rFonts w:hint="eastAsia" w:ascii="仿宋_GB2312" w:hAnsi="仿宋" w:eastAsia="仿宋_GB2312"/>
          <w:sz w:val="32"/>
          <w:szCs w:val="32"/>
        </w:rPr>
        <w:t>万元）。</w:t>
      </w:r>
      <w:r>
        <w:rPr>
          <w:rFonts w:ascii="仿宋_GB2312" w:hAnsi="仿宋" w:eastAsia="仿宋_GB2312"/>
          <w:sz w:val="32"/>
          <w:szCs w:val="32"/>
        </w:rPr>
        <w:t>2022</w:t>
      </w:r>
      <w:r>
        <w:rPr>
          <w:rFonts w:hint="eastAsia" w:ascii="仿宋_GB2312" w:hAnsi="仿宋" w:eastAsia="仿宋_GB2312"/>
          <w:sz w:val="32"/>
          <w:szCs w:val="32"/>
        </w:rPr>
        <w:t>年市财政下达我县新增一般债券</w:t>
      </w:r>
      <w:r>
        <w:rPr>
          <w:rFonts w:ascii="仿宋_GB2312" w:hAnsi="仿宋" w:eastAsia="仿宋_GB2312"/>
          <w:sz w:val="32"/>
          <w:szCs w:val="32"/>
        </w:rPr>
        <w:t xml:space="preserve">4070 </w:t>
      </w:r>
      <w:r>
        <w:rPr>
          <w:rFonts w:hint="eastAsia" w:ascii="仿宋_GB2312" w:hAnsi="仿宋" w:eastAsia="仿宋_GB2312"/>
          <w:sz w:val="32"/>
          <w:szCs w:val="32"/>
        </w:rPr>
        <w:t>万元，再融资债券</w:t>
      </w:r>
      <w:r>
        <w:rPr>
          <w:rFonts w:ascii="仿宋_GB2312" w:hAnsi="仿宋" w:eastAsia="仿宋_GB2312"/>
          <w:sz w:val="32"/>
          <w:szCs w:val="32"/>
        </w:rPr>
        <w:t>978</w:t>
      </w:r>
      <w:r>
        <w:rPr>
          <w:rFonts w:hint="eastAsia" w:ascii="仿宋_GB2312" w:hAnsi="仿宋" w:eastAsia="仿宋_GB2312"/>
          <w:sz w:val="32"/>
          <w:szCs w:val="32"/>
        </w:rPr>
        <w:t>万元，专项债券</w:t>
      </w:r>
      <w:r>
        <w:rPr>
          <w:rFonts w:ascii="仿宋_GB2312" w:hAnsi="仿宋" w:eastAsia="仿宋_GB2312"/>
          <w:sz w:val="32"/>
          <w:szCs w:val="32"/>
        </w:rPr>
        <w:t>7800</w:t>
      </w:r>
      <w:r>
        <w:rPr>
          <w:rFonts w:hint="eastAsia" w:ascii="仿宋_GB2312" w:hAnsi="仿宋" w:eastAsia="仿宋_GB2312"/>
          <w:sz w:val="32"/>
          <w:szCs w:val="32"/>
        </w:rPr>
        <w:t>万元；本年归还到期一般债券</w:t>
      </w:r>
      <w:r>
        <w:rPr>
          <w:rFonts w:ascii="仿宋_GB2312" w:hAnsi="仿宋" w:eastAsia="仿宋_GB2312"/>
          <w:sz w:val="32"/>
          <w:szCs w:val="32"/>
        </w:rPr>
        <w:t>978</w:t>
      </w:r>
      <w:r>
        <w:rPr>
          <w:rFonts w:hint="eastAsia" w:ascii="仿宋_GB2312" w:hAnsi="仿宋" w:eastAsia="仿宋_GB2312"/>
          <w:sz w:val="32"/>
          <w:szCs w:val="32"/>
        </w:rPr>
        <w:t>万元，专项债券</w:t>
      </w:r>
      <w:r>
        <w:rPr>
          <w:rFonts w:ascii="仿宋_GB2312" w:hAnsi="仿宋" w:eastAsia="仿宋_GB2312"/>
          <w:sz w:val="32"/>
          <w:szCs w:val="32"/>
        </w:rPr>
        <w:t>1022</w:t>
      </w:r>
      <w:r>
        <w:rPr>
          <w:rFonts w:hint="eastAsia" w:ascii="仿宋_GB2312" w:hAnsi="仿宋" w:eastAsia="仿宋_GB2312"/>
          <w:sz w:val="32"/>
          <w:szCs w:val="32"/>
        </w:rPr>
        <w:t>万元，债务付息支出</w:t>
      </w:r>
      <w:r>
        <w:rPr>
          <w:rFonts w:ascii="仿宋_GB2312" w:hAnsi="仿宋" w:eastAsia="仿宋_GB2312"/>
          <w:sz w:val="32"/>
          <w:szCs w:val="32"/>
        </w:rPr>
        <w:t>595</w:t>
      </w:r>
      <w:r>
        <w:rPr>
          <w:rFonts w:hint="eastAsia" w:ascii="仿宋_GB2312" w:hAnsi="仿宋" w:eastAsia="仿宋_GB2312"/>
          <w:sz w:val="32"/>
          <w:szCs w:val="32"/>
        </w:rPr>
        <w:t>万元（其中：一般债券付息</w:t>
      </w:r>
      <w:r>
        <w:rPr>
          <w:rFonts w:ascii="仿宋_GB2312" w:hAnsi="仿宋" w:eastAsia="仿宋_GB2312"/>
          <w:sz w:val="32"/>
          <w:szCs w:val="32"/>
        </w:rPr>
        <w:t>723</w:t>
      </w:r>
      <w:r>
        <w:rPr>
          <w:rFonts w:hint="eastAsia" w:ascii="仿宋_GB2312" w:hAnsi="仿宋" w:eastAsia="仿宋_GB2312"/>
          <w:sz w:val="32"/>
          <w:szCs w:val="32"/>
        </w:rPr>
        <w:t>万元，专项债券付息</w:t>
      </w:r>
      <w:r>
        <w:rPr>
          <w:rFonts w:ascii="仿宋_GB2312" w:hAnsi="仿宋" w:eastAsia="仿宋_GB2312"/>
          <w:sz w:val="32"/>
          <w:szCs w:val="32"/>
        </w:rPr>
        <w:t>433</w:t>
      </w:r>
      <w:r>
        <w:rPr>
          <w:rFonts w:hint="eastAsia" w:ascii="仿宋_GB2312" w:hAnsi="仿宋" w:eastAsia="仿宋_GB2312"/>
          <w:sz w:val="32"/>
          <w:szCs w:val="32"/>
        </w:rPr>
        <w:t>万元）。</w:t>
      </w:r>
      <w:r>
        <w:rPr>
          <w:rFonts w:ascii="仿宋_GB2312" w:hAnsi="仿宋" w:eastAsia="仿宋_GB2312"/>
          <w:sz w:val="32"/>
          <w:szCs w:val="32"/>
        </w:rPr>
        <w:t>2022</w:t>
      </w:r>
      <w:r>
        <w:rPr>
          <w:rFonts w:hint="eastAsia" w:ascii="仿宋_GB2312" w:hAnsi="仿宋" w:eastAsia="仿宋_GB2312"/>
          <w:sz w:val="32"/>
          <w:szCs w:val="32"/>
        </w:rPr>
        <w:t>年底我县政府债务余额</w:t>
      </w:r>
      <w:r>
        <w:rPr>
          <w:rFonts w:ascii="仿宋_GB2312" w:hAnsi="仿宋" w:eastAsia="仿宋_GB2312"/>
          <w:sz w:val="32"/>
          <w:szCs w:val="32"/>
        </w:rPr>
        <w:t>42272</w:t>
      </w:r>
      <w:r>
        <w:rPr>
          <w:rFonts w:hint="eastAsia" w:ascii="仿宋_GB2312" w:hAnsi="仿宋" w:eastAsia="仿宋_GB2312"/>
          <w:sz w:val="32"/>
          <w:szCs w:val="32"/>
        </w:rPr>
        <w:t>万元（其中：一般债务</w:t>
      </w:r>
      <w:r>
        <w:rPr>
          <w:rFonts w:ascii="仿宋_GB2312" w:hAnsi="仿宋" w:eastAsia="仿宋_GB2312"/>
          <w:sz w:val="32"/>
          <w:szCs w:val="32"/>
        </w:rPr>
        <w:t>24872</w:t>
      </w:r>
      <w:r>
        <w:rPr>
          <w:rFonts w:hint="eastAsia" w:ascii="仿宋_GB2312" w:hAnsi="仿宋" w:eastAsia="仿宋_GB2312"/>
          <w:sz w:val="32"/>
          <w:szCs w:val="32"/>
        </w:rPr>
        <w:t>万元，专项债务</w:t>
      </w:r>
      <w:r>
        <w:rPr>
          <w:rFonts w:ascii="仿宋_GB2312" w:hAnsi="仿宋" w:eastAsia="仿宋_GB2312"/>
          <w:sz w:val="32"/>
          <w:szCs w:val="32"/>
        </w:rPr>
        <w:t>17400</w:t>
      </w:r>
      <w:r>
        <w:rPr>
          <w:rFonts w:hint="eastAsia" w:ascii="仿宋_GB2312" w:hAnsi="仿宋" w:eastAsia="仿宋_GB2312"/>
          <w:sz w:val="32"/>
          <w:szCs w:val="32"/>
        </w:rPr>
        <w:t>万元），一般债务和专项债务均未突破市政府下达</w:t>
      </w:r>
      <w:r>
        <w:rPr>
          <w:rFonts w:hint="eastAsia" w:ascii="仿宋_GB2312" w:hAnsi="仿宋" w:eastAsia="仿宋_GB2312"/>
          <w:sz w:val="32"/>
          <w:szCs w:val="32"/>
          <w:lang w:val="en-US" w:eastAsia="zh-CN"/>
        </w:rPr>
        <w:t>的</w:t>
      </w:r>
      <w:r>
        <w:rPr>
          <w:rFonts w:hint="eastAsia" w:ascii="仿宋_GB2312" w:hAnsi="仿宋" w:eastAsia="仿宋_GB2312"/>
          <w:sz w:val="32"/>
          <w:szCs w:val="32"/>
        </w:rPr>
        <w:t>控制限额。</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佛坪县2022年度一般公共预算“三公经费”情况说明</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县本级</w:t>
      </w:r>
      <w:r>
        <w:rPr>
          <w:rFonts w:ascii="仿宋_GB2312" w:hAnsi="微软雅黑" w:eastAsia="仿宋_GB2312" w:cs="宋体"/>
          <w:bCs/>
          <w:kern w:val="0"/>
          <w:sz w:val="32"/>
          <w:szCs w:val="32"/>
        </w:rPr>
        <w:t>2022</w:t>
      </w:r>
      <w:r>
        <w:rPr>
          <w:rFonts w:hint="eastAsia" w:ascii="仿宋_GB2312" w:hAnsi="微软雅黑" w:eastAsia="仿宋_GB2312" w:cs="宋体"/>
          <w:bCs/>
          <w:kern w:val="0"/>
          <w:sz w:val="32"/>
          <w:szCs w:val="32"/>
        </w:rPr>
        <w:t>年度行政事业单位公共预算财政拨款安排的“三公经费”支出</w:t>
      </w:r>
      <w:r>
        <w:rPr>
          <w:rFonts w:ascii="仿宋_GB2312" w:hAnsi="微软雅黑" w:eastAsia="仿宋_GB2312" w:cs="宋体"/>
          <w:bCs/>
          <w:kern w:val="0"/>
          <w:sz w:val="32"/>
          <w:szCs w:val="32"/>
        </w:rPr>
        <w:t>196</w:t>
      </w:r>
      <w:r>
        <w:rPr>
          <w:rFonts w:hint="eastAsia" w:ascii="仿宋_GB2312" w:hAnsi="微软雅黑" w:eastAsia="仿宋_GB2312" w:cs="宋体"/>
          <w:bCs/>
          <w:kern w:val="0"/>
          <w:sz w:val="32"/>
          <w:szCs w:val="32"/>
        </w:rPr>
        <w:t>万元，较</w:t>
      </w:r>
      <w:r>
        <w:rPr>
          <w:rFonts w:ascii="仿宋_GB2312" w:hAnsi="微软雅黑" w:eastAsia="仿宋_GB2312" w:cs="宋体"/>
          <w:bCs/>
          <w:kern w:val="0"/>
          <w:sz w:val="32"/>
          <w:szCs w:val="32"/>
        </w:rPr>
        <w:t>2021</w:t>
      </w:r>
      <w:r>
        <w:rPr>
          <w:rFonts w:hint="eastAsia" w:ascii="仿宋_GB2312" w:hAnsi="微软雅黑" w:eastAsia="仿宋_GB2312" w:cs="宋体"/>
          <w:bCs/>
          <w:kern w:val="0"/>
          <w:sz w:val="32"/>
          <w:szCs w:val="32"/>
        </w:rPr>
        <w:t>年减少</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0.5%</w:t>
      </w:r>
      <w:r>
        <w:rPr>
          <w:rFonts w:hint="eastAsia" w:ascii="仿宋_GB2312" w:hAnsi="微软雅黑" w:eastAsia="仿宋_GB2312" w:cs="宋体"/>
          <w:bCs/>
          <w:kern w:val="0"/>
          <w:sz w:val="32"/>
          <w:szCs w:val="32"/>
        </w:rPr>
        <w:t>，下降的主要原因是严格执行中央八项规定及公务用车改革，加强公务用车日常管理，严控出国</w:t>
      </w:r>
      <w:r>
        <w:rPr>
          <w:rFonts w:hint="eastAsia" w:ascii="仿宋_GB2312" w:hAnsi="微软雅黑" w:eastAsia="仿宋_GB2312" w:cs="宋体"/>
          <w:bCs/>
          <w:kern w:val="0"/>
          <w:sz w:val="32"/>
          <w:szCs w:val="32"/>
          <w:lang w:val="en-US" w:eastAsia="zh-CN"/>
        </w:rPr>
        <w:t>出</w:t>
      </w:r>
      <w:r>
        <w:rPr>
          <w:rFonts w:hint="eastAsia" w:ascii="仿宋_GB2312" w:hAnsi="微软雅黑" w:eastAsia="仿宋_GB2312" w:cs="宋体"/>
          <w:bCs/>
          <w:kern w:val="0"/>
          <w:sz w:val="32"/>
          <w:szCs w:val="32"/>
        </w:rPr>
        <w:t>境费用支出，“三公经费”保持了只减不增。</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 xml:space="preserve">1. </w:t>
      </w:r>
      <w:r>
        <w:rPr>
          <w:rFonts w:hint="eastAsia" w:ascii="仿宋_GB2312" w:hAnsi="微软雅黑" w:eastAsia="仿宋_GB2312" w:cs="宋体"/>
          <w:bCs/>
          <w:kern w:val="0"/>
          <w:sz w:val="32"/>
          <w:szCs w:val="32"/>
        </w:rPr>
        <w:t>因公出国</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rPr>
        <w:t>境</w:t>
      </w:r>
      <w:r>
        <w:rPr>
          <w:rFonts w:hint="eastAsia" w:ascii="仿宋_GB2312" w:hAnsi="微软雅黑" w:eastAsia="仿宋_GB2312" w:cs="宋体"/>
          <w:bCs/>
          <w:kern w:val="0"/>
          <w:sz w:val="32"/>
          <w:szCs w:val="32"/>
          <w:highlight w:val="none"/>
          <w:lang w:eastAsia="zh-CN"/>
        </w:rPr>
        <w:t>）</w:t>
      </w:r>
      <w:r>
        <w:rPr>
          <w:rFonts w:hint="eastAsia" w:ascii="仿宋_GB2312" w:hAnsi="微软雅黑" w:eastAsia="仿宋_GB2312" w:cs="宋体"/>
          <w:bCs/>
          <w:kern w:val="0"/>
          <w:sz w:val="32"/>
          <w:szCs w:val="32"/>
        </w:rPr>
        <w:t>费用</w:t>
      </w:r>
      <w:r>
        <w:rPr>
          <w:rFonts w:ascii="仿宋_GB2312" w:hAnsi="微软雅黑" w:eastAsia="仿宋_GB2312" w:cs="宋体"/>
          <w:bCs/>
          <w:kern w:val="0"/>
          <w:sz w:val="32"/>
          <w:szCs w:val="32"/>
        </w:rPr>
        <w:t>0</w:t>
      </w:r>
      <w:r>
        <w:rPr>
          <w:rFonts w:hint="eastAsia" w:ascii="仿宋_GB2312" w:hAnsi="微软雅黑" w:eastAsia="仿宋_GB2312" w:cs="宋体"/>
          <w:bCs/>
          <w:kern w:val="0"/>
          <w:sz w:val="32"/>
          <w:szCs w:val="32"/>
        </w:rPr>
        <w:t>万元，较上年减少</w:t>
      </w:r>
      <w:r>
        <w:rPr>
          <w:rFonts w:ascii="仿宋_GB2312" w:hAnsi="微软雅黑" w:eastAsia="仿宋_GB2312" w:cs="宋体"/>
          <w:bCs/>
          <w:kern w:val="0"/>
          <w:sz w:val="32"/>
          <w:szCs w:val="32"/>
        </w:rPr>
        <w:t>0</w:t>
      </w:r>
      <w:r>
        <w:rPr>
          <w:rFonts w:hint="eastAsia" w:ascii="仿宋_GB2312" w:hAnsi="微软雅黑" w:eastAsia="仿宋_GB2312" w:cs="宋体"/>
          <w:bCs/>
          <w:kern w:val="0"/>
          <w:sz w:val="32"/>
          <w:szCs w:val="32"/>
        </w:rPr>
        <w:t>万元</w:t>
      </w:r>
      <w:r>
        <w:rPr>
          <w:rFonts w:hint="eastAsia" w:ascii="仿宋_GB2312" w:hAnsi="微软雅黑" w:eastAsia="仿宋_GB2312" w:cs="宋体"/>
          <w:bCs/>
          <w:kern w:val="0"/>
          <w:sz w:val="32"/>
          <w:szCs w:val="32"/>
          <w:highlight w:val="none"/>
          <w:lang w:eastAsia="zh-CN"/>
        </w:rPr>
        <w:t>，</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主要是上年和本年未发生因公出国（境）费用。</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公务用车购置及运行维护费支出</w:t>
      </w:r>
      <w:r>
        <w:rPr>
          <w:rFonts w:ascii="仿宋_GB2312" w:hAnsi="微软雅黑" w:eastAsia="仿宋_GB2312" w:cs="宋体"/>
          <w:bCs/>
          <w:kern w:val="0"/>
          <w:sz w:val="32"/>
          <w:szCs w:val="32"/>
        </w:rPr>
        <w:t>128</w:t>
      </w:r>
      <w:r>
        <w:rPr>
          <w:rFonts w:hint="eastAsia" w:ascii="仿宋_GB2312" w:hAnsi="微软雅黑" w:eastAsia="仿宋_GB2312" w:cs="宋体"/>
          <w:bCs/>
          <w:kern w:val="0"/>
          <w:sz w:val="32"/>
          <w:szCs w:val="32"/>
        </w:rPr>
        <w:t>万元，其中公务用车运行维护费</w:t>
      </w:r>
      <w:r>
        <w:rPr>
          <w:rFonts w:ascii="仿宋_GB2312" w:hAnsi="微软雅黑" w:eastAsia="仿宋_GB2312" w:cs="宋体"/>
          <w:bCs/>
          <w:kern w:val="0"/>
          <w:sz w:val="32"/>
          <w:szCs w:val="32"/>
        </w:rPr>
        <w:t>128</w:t>
      </w:r>
      <w:r>
        <w:rPr>
          <w:rFonts w:hint="eastAsia" w:ascii="仿宋_GB2312" w:hAnsi="微软雅黑" w:eastAsia="仿宋_GB2312" w:cs="宋体"/>
          <w:bCs/>
          <w:kern w:val="0"/>
          <w:sz w:val="32"/>
          <w:szCs w:val="32"/>
        </w:rPr>
        <w:t>万元，与</w:t>
      </w:r>
      <w:r>
        <w:rPr>
          <w:rFonts w:ascii="仿宋_GB2312" w:hAnsi="微软雅黑" w:eastAsia="仿宋_GB2312" w:cs="宋体"/>
          <w:bCs/>
          <w:kern w:val="0"/>
          <w:sz w:val="32"/>
          <w:szCs w:val="32"/>
        </w:rPr>
        <w:t>2021</w:t>
      </w:r>
      <w:r>
        <w:rPr>
          <w:rFonts w:hint="eastAsia" w:ascii="仿宋_GB2312" w:hAnsi="微软雅黑" w:eastAsia="仿宋_GB2312" w:cs="宋体"/>
          <w:bCs/>
          <w:kern w:val="0"/>
          <w:sz w:val="32"/>
          <w:szCs w:val="32"/>
        </w:rPr>
        <w:t>年持平，主要原因是</w:t>
      </w:r>
      <w:r>
        <w:rPr>
          <w:rFonts w:hint="eastAsia" w:ascii="仿宋_GB2312" w:hAnsi="微软雅黑" w:eastAsia="仿宋_GB2312" w:cs="宋体"/>
          <w:bCs/>
          <w:kern w:val="0"/>
          <w:sz w:val="32"/>
          <w:szCs w:val="32"/>
          <w:highlight w:val="none"/>
          <w:lang w:eastAsia="zh-CN"/>
        </w:rPr>
        <w:t>：</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严格执行中央八项规定及公务用车改革，加强公务用车日常管理，严控相关支出。</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公务接待费</w:t>
      </w:r>
      <w:r>
        <w:rPr>
          <w:rFonts w:ascii="仿宋_GB2312" w:hAnsi="微软雅黑" w:eastAsia="仿宋_GB2312" w:cs="宋体"/>
          <w:bCs/>
          <w:kern w:val="0"/>
          <w:sz w:val="32"/>
          <w:szCs w:val="32"/>
        </w:rPr>
        <w:t>68</w:t>
      </w:r>
      <w:r>
        <w:rPr>
          <w:rFonts w:hint="eastAsia" w:ascii="仿宋_GB2312" w:hAnsi="微软雅黑" w:eastAsia="仿宋_GB2312" w:cs="宋体"/>
          <w:bCs/>
          <w:kern w:val="0"/>
          <w:sz w:val="32"/>
          <w:szCs w:val="32"/>
        </w:rPr>
        <w:t>万元，较上年减少</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1.45%</w:t>
      </w:r>
      <w:r>
        <w:rPr>
          <w:rFonts w:hint="eastAsia" w:ascii="仿宋_GB2312" w:hAnsi="微软雅黑" w:eastAsia="仿宋_GB2312" w:cs="宋体"/>
          <w:bCs/>
          <w:kern w:val="0"/>
          <w:sz w:val="32"/>
          <w:szCs w:val="32"/>
        </w:rPr>
        <w:t>。公务接待费下降的主要原因是：进一步贯彻落实党政机关厉行节约有关要求，严格执行中央八项规定，加强公务接待经费管理，严控公务接待人次，确保公务接待费只减不增。</w:t>
      </w:r>
    </w:p>
    <w:p>
      <w:pPr>
        <w:ind w:firstLine="640" w:firstLineChars="200"/>
        <w:rPr>
          <w:rFonts w:ascii="仿宋_GB2312" w:hAnsi="仿宋_GB2312" w:eastAsia="仿宋_GB2312" w:cs="仿宋_GB2312"/>
          <w:sz w:val="32"/>
          <w:szCs w:val="32"/>
        </w:rPr>
      </w:pP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2022年度预算绩效工作开展情况说明</w:t>
      </w:r>
      <w:r>
        <w:rPr>
          <w:rFonts w:ascii="方正小标宋简体" w:hAnsi="方正小标宋简体" w:eastAsia="方正小标宋简体" w:cs="方正小标宋简体"/>
          <w:sz w:val="44"/>
          <w:szCs w:val="44"/>
        </w:rPr>
        <w:br w:type="textWrapping"/>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年，按照佛坪县委、县政府《关于全面实施预算绩效管理的实施意见》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佛发〔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文件精神，县财政局持续推动预算绩效管理工作提质增效，着力完善预算绩效管理制度体系，在“全方位全过程全覆盖”的预算绩效管理体系的基础上，进一步加深预算绩效目标管理、预算执行运行监控、部门整体支出绩效评价、财政重点绩效评价等重要环节工作质量，促进我县预算绩效管理工作迈上一个新台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shd w:val="clear" w:color="auto" w:fill="FFFFFF"/>
        </w:rPr>
        <w:t>绩效目标管理科学规范。</w:t>
      </w:r>
      <w:r>
        <w:rPr>
          <w:rFonts w:hint="eastAsia" w:ascii="仿宋_GB2312" w:hAnsi="仿宋_GB2312" w:eastAsia="仿宋_GB2312" w:cs="仿宋_GB2312"/>
          <w:sz w:val="32"/>
          <w:szCs w:val="32"/>
        </w:rPr>
        <w:t>把绩效目标作为预算资金安排的前置条件，强化项目绩效目标管理，对单位申报预算项目进行梳理、加强审核、合理保障，对未提供专项资金绩效目标申报表，无具体内容的专项</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，一律不予安排资金。同时，按规定要求批复绩效目标。年初随部门预算批复单位整体绩效目标和专项业务经费绩效目标。年中追加、调整预算时，随资金文件同步批复绩效目标。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color w:val="000000"/>
          <w:sz w:val="32"/>
          <w:szCs w:val="32"/>
          <w:shd w:val="clear" w:color="auto" w:fill="FFFFFF"/>
        </w:rPr>
        <w:t>绩效监控管理突出重点。</w:t>
      </w:r>
      <w:r>
        <w:rPr>
          <w:rFonts w:hint="eastAsia" w:ascii="仿宋_GB2312" w:hAnsi="仿宋_GB2312" w:eastAsia="仿宋_GB2312" w:cs="仿宋_GB2312"/>
          <w:sz w:val="32"/>
          <w:szCs w:val="32"/>
          <w:shd w:val="clear" w:color="auto" w:fill="FFFFFF"/>
        </w:rPr>
        <w:t>预算执行环节，加强预算资金跟踪，按月通报专项资金执行情况，通过预算绩效监控，及时掌握财政资金使用情况，跟踪查找薄弱环节，有效提高财政资金管理水平。委托第三方机构对</w:t>
      </w:r>
      <w:r>
        <w:rPr>
          <w:rFonts w:ascii="仿宋_GB2312" w:hAnsi="仿宋_GB2312" w:eastAsia="仿宋_GB2312" w:cs="仿宋_GB2312"/>
          <w:color w:val="000000"/>
          <w:sz w:val="32"/>
          <w:szCs w:val="32"/>
          <w:shd w:val="clear" w:color="auto" w:fill="FFFFFF"/>
        </w:rPr>
        <w:t>2022</w:t>
      </w:r>
      <w:r>
        <w:rPr>
          <w:rFonts w:hint="eastAsia" w:ascii="仿宋_GB2312" w:hAnsi="仿宋_GB2312" w:eastAsia="仿宋_GB2312" w:cs="仿宋_GB2312"/>
          <w:color w:val="000000"/>
          <w:sz w:val="32"/>
          <w:szCs w:val="32"/>
          <w:shd w:val="clear" w:color="auto" w:fill="FFFFFF"/>
        </w:rPr>
        <w:t>年度</w:t>
      </w:r>
      <w:r>
        <w:rPr>
          <w:rFonts w:hint="eastAsia" w:ascii="仿宋_GB2312" w:hAnsi="仿宋_GB2312" w:eastAsia="仿宋_GB2312" w:cs="仿宋_GB2312"/>
          <w:sz w:val="32"/>
          <w:szCs w:val="32"/>
          <w:shd w:val="clear" w:color="auto" w:fill="FFFFFF"/>
        </w:rPr>
        <w:t>涉农整合资金项目绩效运行情况进行了抽查。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三是</w:t>
      </w:r>
      <w:r>
        <w:rPr>
          <w:rFonts w:hint="eastAsia" w:ascii="仿宋_GB2312" w:hAnsi="仿宋_GB2312" w:eastAsia="仿宋_GB2312" w:cs="仿宋_GB2312"/>
          <w:color w:val="000000"/>
          <w:sz w:val="32"/>
          <w:szCs w:val="32"/>
          <w:shd w:val="clear" w:color="auto" w:fill="FFFFFF"/>
        </w:rPr>
        <w:t>绩效评价管理提质增效</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进一步扩大预算绩效自评范围，</w:t>
      </w:r>
      <w:r>
        <w:rPr>
          <w:rFonts w:hint="eastAsia" w:ascii="仿宋_GB2312" w:hAnsi="仿宋_GB2312" w:eastAsia="仿宋_GB2312" w:cs="仿宋_GB2312"/>
          <w:sz w:val="32"/>
          <w:szCs w:val="32"/>
          <w:shd w:val="clear" w:color="auto" w:fill="FFFFFF"/>
        </w:rPr>
        <w:t>组织全县</w:t>
      </w:r>
      <w:r>
        <w:rPr>
          <w:rFonts w:ascii="仿宋_GB2312" w:hAnsi="仿宋_GB2312"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个部门和7个镇（街道）对上年度项目支出和部门整体支出开展了绩效自评，由财政局归口业务股室对自评报告进行抽查复核。同时，围绕</w:t>
      </w:r>
      <w:r>
        <w:rPr>
          <w:rFonts w:hint="eastAsia" w:ascii="仿宋_GB2312" w:hAnsi="仿宋_GB2312" w:eastAsia="仿宋_GB2312" w:cs="仿宋_GB2312"/>
          <w:color w:val="393939"/>
          <w:sz w:val="32"/>
          <w:szCs w:val="32"/>
          <w:shd w:val="clear" w:color="auto" w:fill="FFFFFF"/>
          <w:lang w:val="en-US" w:eastAsia="zh-CN"/>
        </w:rPr>
        <w:t>县域经济高质量发展</w:t>
      </w:r>
      <w:r>
        <w:rPr>
          <w:rFonts w:hint="eastAsia" w:ascii="仿宋_GB2312" w:hAnsi="仿宋_GB2312" w:eastAsia="仿宋_GB2312" w:cs="仿宋_GB2312"/>
          <w:sz w:val="32"/>
          <w:szCs w:val="32"/>
          <w:shd w:val="clear" w:color="auto" w:fill="FFFFFF"/>
        </w:rPr>
        <w:t>、东岳殿冷链物流基础设施建设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移民安置点道路建设、康养旅居服务中心改扩建</w:t>
      </w:r>
      <w:r>
        <w:rPr>
          <w:rFonts w:hint="eastAsia" w:ascii="仿宋_GB2312" w:hAnsi="仿宋_GB2312" w:eastAsia="仿宋_GB2312" w:cs="仿宋_GB2312"/>
          <w:sz w:val="32"/>
          <w:szCs w:val="32"/>
          <w:shd w:val="clear" w:color="auto" w:fill="FFFFFF"/>
        </w:rPr>
        <w:t>等</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个项目和县市场监管局、县应急管理局两个部门整体支出开展了重点绩效评价。</w:t>
      </w:r>
    </w:p>
    <w:p>
      <w:pPr>
        <w:ind w:firstLine="640" w:firstLineChars="200"/>
        <w:rPr>
          <w:rFonts w:ascii="仿宋_GB2312" w:hAnsi="宋体" w:eastAsia="仿宋_GB2312"/>
          <w:sz w:val="32"/>
          <w:szCs w:val="32"/>
          <w:highlight w:val="yellow"/>
        </w:rPr>
      </w:pPr>
      <w:r>
        <w:rPr>
          <w:rFonts w:hint="eastAsia" w:ascii="仿宋_GB2312" w:hAnsi="仿宋_GB2312" w:eastAsia="仿宋_GB2312" w:cs="仿宋_GB2312"/>
          <w:sz w:val="32"/>
          <w:szCs w:val="32"/>
        </w:rPr>
        <w:t>四是评价结果应用</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持续提升。主动公开公示绩效目标和绩效评价结果，通过政府网站信息公开专栏公开绩效目标和绩效评价结果，不断增强财政支出绩效评价的透明度。</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个部门和7个镇（街道办）整体支出绩效目标和专项业务费绩效目标随同部门预算在政府门户网站进行了公开，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年部门整体绩效评价和专项资金绩效评价结果随同部门决算在政府门户网站进行了公开。将绩效评价结果与预算安排相结合，对</w:t>
      </w:r>
      <w:r>
        <w:rPr>
          <w:rFonts w:hint="eastAsia" w:ascii="仿宋_GB2312" w:hAnsi="仿宋_GB2312" w:eastAsia="仿宋_GB2312" w:cs="仿宋_GB2312"/>
          <w:sz w:val="32"/>
          <w:szCs w:val="32"/>
          <w:lang w:val="en-US" w:eastAsia="zh-CN"/>
        </w:rPr>
        <w:t>绩效</w:t>
      </w:r>
      <w:r>
        <w:rPr>
          <w:rFonts w:hint="eastAsia" w:ascii="仿宋_GB2312" w:hAnsi="仿宋_GB2312" w:eastAsia="仿宋_GB2312" w:cs="仿宋_GB2312"/>
          <w:sz w:val="32"/>
          <w:szCs w:val="32"/>
        </w:rPr>
        <w:t>评价结果较好的项目原则上优先保障，对绩效一般的项目督促改进，对低效</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无效的项目进行消减或取消。</w:t>
      </w:r>
    </w:p>
    <w:p>
      <w:pPr>
        <w:ind w:firstLine="640" w:firstLineChars="200"/>
        <w:rPr>
          <w:rFonts w:ascii="仿宋_GB2312" w:hAnsi="宋体" w:eastAsia="仿宋_GB2312"/>
          <w:sz w:val="32"/>
          <w:szCs w:val="32"/>
          <w:highlight w:val="yellow"/>
        </w:rPr>
      </w:pPr>
    </w:p>
    <w:p>
      <w:pPr>
        <w:ind w:firstLine="640" w:firstLineChars="200"/>
        <w:rPr>
          <w:rFonts w:ascii="仿宋_GB2312" w:hAnsi="宋体" w:eastAsia="仿宋_GB2312"/>
          <w:sz w:val="32"/>
          <w:szCs w:val="32"/>
          <w:highlight w:val="yellow"/>
        </w:rPr>
      </w:pPr>
    </w:p>
    <w:p>
      <w:pPr>
        <w:ind w:firstLine="640" w:firstLineChars="200"/>
        <w:rPr>
          <w:rFonts w:ascii="仿宋_GB2312" w:hAnsi="宋体" w:eastAsia="仿宋_GB2312"/>
          <w:sz w:val="32"/>
          <w:szCs w:val="32"/>
          <w:highlight w:val="yellow"/>
        </w:rPr>
      </w:pPr>
    </w:p>
    <w:p>
      <w:pPr>
        <w:ind w:firstLine="640" w:firstLineChars="200"/>
        <w:rPr>
          <w:rFonts w:ascii="仿宋_GB2312" w:hAnsi="宋体" w:eastAsia="仿宋_GB2312"/>
          <w:sz w:val="32"/>
          <w:szCs w:val="32"/>
          <w:highlight w:val="yellow"/>
        </w:rPr>
      </w:pPr>
    </w:p>
    <w:p>
      <w:pPr>
        <w:spacing w:line="600" w:lineRule="exact"/>
        <w:jc w:val="center"/>
        <w:rPr>
          <w:rFonts w:ascii="方正小标宋简体" w:hAnsi="方正小标宋简体" w:eastAsia="方正小标宋简体" w:cs="方正小标宋简体"/>
          <w:sz w:val="44"/>
          <w:szCs w:val="44"/>
          <w:highlight w:val="yellow"/>
        </w:rPr>
      </w:pPr>
    </w:p>
    <w:p>
      <w:pPr>
        <w:spacing w:line="560" w:lineRule="exact"/>
        <w:rPr>
          <w:rFonts w:ascii="方正小标宋简体" w:hAnsi="方正小标宋简体" w:eastAsia="方正小标宋简体" w:cs="方正小标宋简体"/>
          <w:spacing w:val="-17"/>
          <w:sz w:val="44"/>
          <w:szCs w:val="44"/>
        </w:rPr>
      </w:pPr>
    </w:p>
    <w:p>
      <w:pPr>
        <w:spacing w:line="560" w:lineRule="exact"/>
        <w:jc w:val="center"/>
        <w:rPr>
          <w:rFonts w:ascii="仿宋_GB2312" w:hAnsi="仿宋_GB2312" w:eastAsia="仿宋_GB2312" w:cs="仿宋_GB2312"/>
          <w:spacing w:val="-17"/>
          <w:sz w:val="44"/>
          <w:szCs w:val="44"/>
        </w:rPr>
      </w:pPr>
      <w:r>
        <w:rPr>
          <w:rFonts w:ascii="方正小标宋简体" w:hAnsi="方正小标宋简体" w:eastAsia="方正小标宋简体" w:cs="方正小标宋简体"/>
          <w:spacing w:val="-17"/>
          <w:sz w:val="44"/>
          <w:szCs w:val="44"/>
        </w:rPr>
        <w:t>2022</w:t>
      </w:r>
      <w:r>
        <w:rPr>
          <w:rFonts w:hint="eastAsia" w:ascii="方正小标宋简体" w:hAnsi="方正小标宋简体" w:eastAsia="方正小标宋简体" w:cs="方正小标宋简体"/>
          <w:spacing w:val="-17"/>
          <w:sz w:val="44"/>
          <w:szCs w:val="44"/>
        </w:rPr>
        <w:t>年重大政策和重点项目绩效执行情况报告</w:t>
      </w:r>
    </w:p>
    <w:p>
      <w:pPr>
        <w:spacing w:line="520" w:lineRule="exact"/>
        <w:ind w:firstLine="640" w:firstLineChars="200"/>
        <w:rPr>
          <w:rFonts w:ascii="仿宋_GB2312" w:hAnsi="仿宋_GB2312" w:eastAsia="仿宋_GB2312" w:cs="仿宋_GB2312"/>
          <w:color w:val="393939"/>
          <w:sz w:val="32"/>
          <w:szCs w:val="32"/>
          <w:shd w:val="clear" w:color="auto" w:fill="FFFFFF"/>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93939"/>
          <w:sz w:val="32"/>
          <w:szCs w:val="32"/>
          <w:shd w:val="clear" w:color="auto" w:fill="FFFFFF"/>
        </w:rPr>
        <w:t>在部门单位全面自评的基础上，围绕县委</w:t>
      </w:r>
      <w:r>
        <w:rPr>
          <w:rFonts w:hint="eastAsia" w:ascii="仿宋_GB2312" w:hAnsi="仿宋_GB2312" w:eastAsia="仿宋_GB2312" w:cs="仿宋_GB2312"/>
          <w:color w:val="393939"/>
          <w:sz w:val="32"/>
          <w:szCs w:val="32"/>
          <w:shd w:val="clear" w:color="auto" w:fill="FFFFFF"/>
          <w:lang w:eastAsia="zh-CN"/>
        </w:rPr>
        <w:t>、</w:t>
      </w:r>
      <w:r>
        <w:rPr>
          <w:rFonts w:hint="eastAsia" w:ascii="仿宋_GB2312" w:hAnsi="仿宋_GB2312" w:eastAsia="仿宋_GB2312" w:cs="仿宋_GB2312"/>
          <w:color w:val="393939"/>
          <w:sz w:val="32"/>
          <w:szCs w:val="32"/>
          <w:shd w:val="clear" w:color="auto" w:fill="FFFFFF"/>
        </w:rPr>
        <w:t>县政府重大决策部署，结合全县重点工作，从</w:t>
      </w:r>
      <w:r>
        <w:rPr>
          <w:rFonts w:ascii="仿宋_GB2312" w:hAnsi="仿宋_GB2312" w:eastAsia="仿宋_GB2312" w:cs="仿宋_GB2312"/>
          <w:color w:val="393939"/>
          <w:sz w:val="32"/>
          <w:szCs w:val="32"/>
          <w:shd w:val="clear" w:color="auto" w:fill="FFFFFF"/>
        </w:rPr>
        <w:t>2022</w:t>
      </w:r>
      <w:r>
        <w:rPr>
          <w:rFonts w:hint="eastAsia" w:ascii="仿宋_GB2312" w:hAnsi="仿宋_GB2312" w:eastAsia="仿宋_GB2312" w:cs="仿宋_GB2312"/>
          <w:color w:val="393939"/>
          <w:sz w:val="32"/>
          <w:szCs w:val="32"/>
          <w:shd w:val="clear" w:color="auto" w:fill="FFFFFF"/>
        </w:rPr>
        <w:t>年财政专项、债券资金项目中选取</w:t>
      </w:r>
      <w:r>
        <w:rPr>
          <w:rFonts w:hint="eastAsia" w:ascii="仿宋_GB2312" w:hAnsi="仿宋_GB2312" w:eastAsia="仿宋_GB2312" w:cs="仿宋_GB2312"/>
          <w:color w:val="393939"/>
          <w:sz w:val="32"/>
          <w:szCs w:val="32"/>
          <w:shd w:val="clear" w:color="auto" w:fill="FFFFFF"/>
          <w:lang w:val="en-US" w:eastAsia="zh-CN"/>
        </w:rPr>
        <w:t>县域经济高质量发展</w:t>
      </w:r>
      <w:r>
        <w:rPr>
          <w:rFonts w:hint="eastAsia" w:ascii="仿宋_GB2312" w:hAnsi="仿宋_GB2312" w:eastAsia="仿宋_GB2312" w:cs="仿宋_GB2312"/>
          <w:sz w:val="32"/>
          <w:szCs w:val="32"/>
          <w:shd w:val="clear" w:color="auto" w:fill="FFFFFF"/>
        </w:rPr>
        <w:t>、东岳殿冷链物流基础设施建设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移民安置点道路、康养旅居服务中心改扩建</w:t>
      </w:r>
      <w:r>
        <w:rPr>
          <w:rFonts w:hint="eastAsia" w:ascii="仿宋_GB2312" w:hAnsi="仿宋_GB2312" w:eastAsia="仿宋_GB2312" w:cs="仿宋_GB2312"/>
          <w:sz w:val="32"/>
          <w:szCs w:val="32"/>
          <w:shd w:val="clear" w:color="auto" w:fill="FFFFFF"/>
        </w:rPr>
        <w:t>等事关民生和经济社会发展的重点项目，以及县市场监管局、县应急管理局两个部门整体支出，</w:t>
      </w:r>
      <w:r>
        <w:rPr>
          <w:rFonts w:hint="eastAsia" w:ascii="仿宋_GB2312" w:hAnsi="仿宋_GB2312" w:eastAsia="仿宋_GB2312" w:cs="仿宋_GB2312"/>
          <w:color w:val="393939"/>
          <w:sz w:val="32"/>
          <w:szCs w:val="32"/>
          <w:shd w:val="clear" w:color="auto" w:fill="FFFFFF"/>
        </w:rPr>
        <w:t>通过委托第三方机构的方式开展了重点绩效</w:t>
      </w:r>
      <w:r>
        <w:rPr>
          <w:rFonts w:hint="eastAsia" w:ascii="仿宋_GB2312" w:hAnsi="仿宋_GB2312" w:eastAsia="仿宋_GB2312" w:cs="仿宋_GB2312"/>
          <w:color w:val="333333"/>
          <w:sz w:val="32"/>
          <w:szCs w:val="32"/>
        </w:rPr>
        <w:t>评价。具体情况如下：</w:t>
      </w: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2022年县域经济高质量发展专项资金</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项目绩效评价报告</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一、基本情况</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（一）项目背景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推动县域经济高质量发展的若干政策措施》（陕办发〔2021〕16号）提出，要紧紧围绕高质量发展主题，完整、准确、全面贯彻新发展理念，突出抓好优势主导产业培育，走特色发展之路；突出城镇化建设，公共服务均等化、便利化，持续夯实县域发展基础；突出居民增收，持续改善民生、增进人民福祉；突出政策和要素保障，全面激发县域经济活力，统筹发展与安全，牢牢守住粮食、生态、金融、生产</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rPr>
        <w:t>安全底线。到2025年，县域主导产业规模效益双提升，</w:t>
      </w:r>
      <w:r>
        <w:rPr>
          <w:rFonts w:hint="eastAsia" w:ascii="Times New Roman" w:hAnsi="Times New Roman" w:eastAsia="仿宋_GB2312" w:cs="仿宋_GB2312"/>
          <w:sz w:val="32"/>
          <w:szCs w:val="32"/>
          <w:lang w:val="en-US" w:eastAsia="zh-CN"/>
        </w:rPr>
        <w:t>县域</w:t>
      </w:r>
      <w:r>
        <w:rPr>
          <w:rFonts w:hint="eastAsia" w:ascii="Times New Roman" w:hAnsi="Times New Roman" w:eastAsia="仿宋_GB2312" w:cs="仿宋_GB2312"/>
          <w:sz w:val="32"/>
          <w:szCs w:val="32"/>
        </w:rPr>
        <w:t>综合服务能力不断增强，园区承载功能更加完善，投融资平台健康稳定运行，为推动高质量发展，创造高品质生活，实现高效能治理提供有力支撑。</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2022年县域经济高质量发展专项资金项目共涉及9个子项目，旨在改善城镇人居环境，加快推进新型城镇化进程，促进佛坪县经济社会科学发展。</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（二）资金情况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022</w:t>
      </w:r>
      <w:r>
        <w:rPr>
          <w:rFonts w:hint="eastAsia" w:ascii="Times New Roman" w:hAnsi="Times New Roman" w:eastAsia="仿宋_GB2312" w:cs="仿宋_GB2312"/>
          <w:sz w:val="32"/>
          <w:szCs w:val="32"/>
        </w:rPr>
        <w:t>年县域经济高质量发展专项资金共包含9个子项目，涉及专项资金3</w:t>
      </w:r>
      <w:r>
        <w:rPr>
          <w:rFonts w:ascii="Times New Roman" w:hAnsi="Times New Roman" w:eastAsia="仿宋_GB2312" w:cs="仿宋_GB2312"/>
          <w:sz w:val="32"/>
          <w:szCs w:val="32"/>
        </w:rPr>
        <w:t>,100.00</w:t>
      </w:r>
      <w:r>
        <w:rPr>
          <w:rFonts w:hint="eastAsia" w:ascii="Times New Roman" w:hAnsi="Times New Roman" w:eastAsia="仿宋_GB2312" w:cs="仿宋_GB2312"/>
          <w:sz w:val="32"/>
          <w:szCs w:val="32"/>
        </w:rPr>
        <w:t>万元。其中：支持首位产业培育发展项目5个，涉及专项资金1,</w:t>
      </w:r>
      <w:r>
        <w:rPr>
          <w:rFonts w:ascii="Times New Roman" w:hAnsi="Times New Roman" w:eastAsia="仿宋_GB2312" w:cs="仿宋_GB2312"/>
          <w:sz w:val="32"/>
          <w:szCs w:val="32"/>
        </w:rPr>
        <w:t>600.00</w:t>
      </w:r>
      <w:r>
        <w:rPr>
          <w:rFonts w:hint="eastAsia" w:ascii="Times New Roman" w:hAnsi="Times New Roman" w:eastAsia="仿宋_GB2312" w:cs="仿宋_GB2312"/>
          <w:sz w:val="32"/>
          <w:szCs w:val="32"/>
        </w:rPr>
        <w:t>万元；支持农村产业融合发展示范园建设项目4个，涉及专项资金1,</w:t>
      </w:r>
      <w:r>
        <w:rPr>
          <w:rFonts w:ascii="Times New Roman" w:hAnsi="Times New Roman" w:eastAsia="仿宋_GB2312" w:cs="仿宋_GB2312"/>
          <w:sz w:val="32"/>
          <w:szCs w:val="32"/>
        </w:rPr>
        <w:t>500.00</w:t>
      </w:r>
      <w:r>
        <w:rPr>
          <w:rFonts w:hint="eastAsia" w:ascii="Times New Roman" w:hAnsi="Times New Roman" w:eastAsia="仿宋_GB2312" w:cs="仿宋_GB2312"/>
          <w:sz w:val="32"/>
          <w:szCs w:val="32"/>
        </w:rPr>
        <w:t>万元。</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二、综合评价结论</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对项目实施实地调研、资料复核，对主管部门、实施单位等相关人员进行访谈，项目整体支出绩效良好，绩效目标、采购需求合理明确，符合《中华人民共和国政府采购法》及相关法律法规的规定。资金的使用能够按照《陕西省财政厅等九部门关于印发陕西省县域经济高质量发展专项资金管理办法的通知》（陕财办建〔20</w:t>
      </w:r>
      <w:r>
        <w:rPr>
          <w:rFonts w:ascii="Times New Roman" w:hAnsi="Times New Roman" w:eastAsia="仿宋_GB2312" w:cs="仿宋_GB2312"/>
          <w:sz w:val="32"/>
          <w:szCs w:val="32"/>
        </w:rPr>
        <w:t>22</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66</w:t>
      </w:r>
      <w:r>
        <w:rPr>
          <w:rFonts w:hint="eastAsia" w:ascii="Times New Roman" w:hAnsi="Times New Roman" w:eastAsia="仿宋_GB2312" w:cs="仿宋_GB2312"/>
          <w:sz w:val="32"/>
          <w:szCs w:val="32"/>
        </w:rPr>
        <w:t>号）要求专款专用。但还存在资料保存不完整、项目管理制度不健全、部分子项目进度缓慢等问题。</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本次绩效评价按照</w:t>
      </w:r>
      <w:r>
        <w:rPr>
          <w:rFonts w:hint="eastAsia" w:ascii="Times New Roman" w:hAnsi="Times New Roman" w:eastAsia="仿宋_GB2312" w:cs="仿宋_GB2312"/>
          <w:sz w:val="32"/>
          <w:szCs w:val="32"/>
          <w:lang w:val="en-US" w:eastAsia="zh-CN"/>
        </w:rPr>
        <w:t>从</w:t>
      </w:r>
      <w:r>
        <w:rPr>
          <w:rFonts w:hint="eastAsia" w:ascii="Times New Roman" w:hAnsi="Times New Roman" w:eastAsia="仿宋_GB2312" w:cs="仿宋_GB2312"/>
          <w:sz w:val="32"/>
          <w:szCs w:val="32"/>
        </w:rPr>
        <w:t>决策、过程到产出、效果和影响的绩效逻辑路径，从项目立项审批、项目管理、资金使用、组织实施、项目产出、项目社会效益、生态效益等方面对项目进行客观分析。围绕项目决策、项目过程、项目产出、项目绩效四大指标体系进行综合评分。</w:t>
      </w:r>
    </w:p>
    <w:p>
      <w:pPr>
        <w:spacing w:line="560" w:lineRule="exact"/>
        <w:ind w:firstLine="643" w:firstLineChars="200"/>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经综合评价，本项目绩效评价得分</w:t>
      </w:r>
      <w:r>
        <w:rPr>
          <w:rFonts w:ascii="Times New Roman" w:hAnsi="Times New Roman" w:eastAsia="仿宋_GB2312" w:cs="仿宋_GB2312"/>
          <w:b/>
          <w:sz w:val="32"/>
          <w:szCs w:val="32"/>
        </w:rPr>
        <w:t>80.93</w:t>
      </w:r>
      <w:r>
        <w:rPr>
          <w:rFonts w:hint="eastAsia" w:ascii="Times New Roman" w:hAnsi="Times New Roman" w:eastAsia="仿宋_GB2312" w:cs="仿宋_GB2312"/>
          <w:b/>
          <w:sz w:val="32"/>
          <w:szCs w:val="32"/>
        </w:rPr>
        <w:t>分，综合评价结果等级为“良”。</w:t>
      </w:r>
    </w:p>
    <w:p>
      <w:pPr>
        <w:spacing w:line="560" w:lineRule="exact"/>
        <w:jc w:val="center"/>
        <w:rPr>
          <w:rFonts w:ascii="Times New Roman" w:hAnsi="Times New Roman" w:eastAsia="仿宋_GB2312" w:cs="仿宋_GB2312"/>
          <w:b/>
          <w:bCs/>
          <w:sz w:val="28"/>
          <w:szCs w:val="28"/>
        </w:rPr>
      </w:pPr>
      <w:r>
        <w:rPr>
          <w:rFonts w:ascii="Times New Roman" w:hAnsi="Times New Roman" w:eastAsia="仿宋_GB2312" w:cs="仿宋_GB2312"/>
          <w:b/>
          <w:bCs/>
          <w:sz w:val="28"/>
          <w:szCs w:val="28"/>
        </w:rPr>
        <w:t>表</w:t>
      </w:r>
      <w:r>
        <w:rPr>
          <w:rFonts w:hint="eastAsia" w:ascii="Times New Roman" w:hAnsi="Times New Roman" w:eastAsia="仿宋_GB2312" w:cs="仿宋_GB2312"/>
          <w:b/>
          <w:bCs/>
          <w:sz w:val="28"/>
          <w:szCs w:val="28"/>
        </w:rPr>
        <w:t>2</w:t>
      </w:r>
      <w:r>
        <w:rPr>
          <w:rFonts w:ascii="Times New Roman" w:hAnsi="Times New Roman" w:eastAsia="仿宋_GB2312" w:cs="仿宋_GB2312"/>
          <w:b/>
          <w:bCs/>
          <w:sz w:val="28"/>
          <w:szCs w:val="28"/>
        </w:rPr>
        <w:t>-1</w:t>
      </w:r>
      <w:r>
        <w:rPr>
          <w:rFonts w:hint="eastAsia" w:ascii="Times New Roman" w:hAnsi="Times New Roman" w:eastAsia="仿宋_GB2312" w:cs="仿宋_GB2312"/>
          <w:b/>
          <w:bCs/>
          <w:sz w:val="28"/>
          <w:szCs w:val="28"/>
        </w:rPr>
        <w:t xml:space="preserve"> 项目</w:t>
      </w:r>
      <w:r>
        <w:rPr>
          <w:rFonts w:ascii="Times New Roman" w:hAnsi="Times New Roman" w:eastAsia="仿宋_GB2312" w:cs="仿宋_GB2312"/>
          <w:b/>
          <w:bCs/>
          <w:sz w:val="28"/>
          <w:szCs w:val="28"/>
        </w:rPr>
        <w:t>指标评分表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Times New Roman" w:hAnsi="Times New Roman" w:eastAsia="仿宋_GB2312" w:cs="仿宋_GB2312"/>
                <w:b/>
                <w:bCs/>
                <w:sz w:val="24"/>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Times New Roman" w:hAnsi="Times New Roman" w:eastAsia="仿宋_GB2312" w:cs="仿宋_GB2312"/>
                <w:b/>
                <w:bCs/>
                <w:sz w:val="24"/>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Times New Roman" w:hAnsi="Times New Roman" w:eastAsia="仿宋_GB2312" w:cs="仿宋_GB2312"/>
                <w:b/>
                <w:bCs/>
                <w:sz w:val="24"/>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Times New Roman" w:hAnsi="Times New Roman" w:eastAsia="仿宋_GB2312" w:cs="仿宋_GB2312"/>
                <w:b/>
                <w:bCs/>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2</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1</w:t>
            </w:r>
            <w:r>
              <w:rPr>
                <w:rFonts w:ascii="Times New Roman" w:hAnsi="Times New Roman" w:eastAsia="仿宋_GB2312" w:cs="仿宋_GB2312"/>
                <w:sz w:val="24"/>
              </w:rPr>
              <w:t>8.00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9</w:t>
            </w:r>
            <w:r>
              <w:rPr>
                <w:rFonts w:ascii="Times New Roman" w:hAnsi="Times New Roman" w:eastAsia="仿宋_GB2312" w:cs="仿宋_GB2312"/>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过程</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2</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1</w:t>
            </w:r>
            <w:r>
              <w:rPr>
                <w:rFonts w:ascii="Times New Roman" w:hAnsi="Times New Roman" w:eastAsia="仿宋_GB2312" w:cs="仿宋_GB2312"/>
                <w:sz w:val="24"/>
              </w:rPr>
              <w:t>1.26</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Times New Roman" w:hAnsi="Times New Roman" w:eastAsia="仿宋_GB2312" w:cs="仿宋_GB2312"/>
                <w:sz w:val="24"/>
              </w:rPr>
              <w:t>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产出</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3</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2</w:t>
            </w:r>
            <w:r>
              <w:rPr>
                <w:rFonts w:ascii="Times New Roman" w:hAnsi="Times New Roman" w:eastAsia="仿宋_GB2312" w:cs="仿宋_GB2312"/>
                <w:sz w:val="24"/>
              </w:rPr>
              <w:t>1.67</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Times New Roman" w:hAnsi="Times New Roman" w:eastAsia="仿宋_GB2312" w:cs="仿宋_GB2312"/>
                <w:sz w:val="24"/>
              </w:rPr>
              <w:t>72.23%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效益</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3</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3</w:t>
            </w:r>
            <w:r>
              <w:rPr>
                <w:rFonts w:ascii="Times New Roman" w:hAnsi="Times New Roman" w:eastAsia="仿宋_GB2312" w:cs="仿宋_GB2312"/>
                <w:sz w:val="24"/>
              </w:rPr>
              <w:t>0.00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Times New Roman" w:hAnsi="Times New Roman" w:eastAsia="仿宋_GB2312" w:cs="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b/>
                <w:bCs/>
                <w:sz w:val="24"/>
              </w:rPr>
              <w:t>绩效评价得分：</w:t>
            </w:r>
            <w:r>
              <w:rPr>
                <w:rFonts w:ascii="Times New Roman" w:hAnsi="Times New Roman" w:eastAsia="仿宋_GB2312" w:cs="仿宋_GB2312"/>
                <w:b/>
                <w:bCs/>
                <w:sz w:val="24"/>
              </w:rPr>
              <w:t>80.93</w:t>
            </w:r>
            <w:r>
              <w:rPr>
                <w:rFonts w:hint="eastAsia" w:ascii="Times New Roman" w:hAnsi="Times New Roman" w:eastAsia="仿宋_GB2312" w:cs="仿宋_GB2312"/>
                <w:b/>
                <w:bCs/>
                <w:sz w:val="24"/>
              </w:rPr>
              <w:t xml:space="preserve">   综合评价结果等级：良</w:t>
            </w:r>
          </w:p>
        </w:tc>
      </w:tr>
    </w:tbl>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三、绩效评价指标分析</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（一）项目决策情况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项目决策从“项目立项</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绩效目标”和“资金投入”三个方面对项目进行评价，分值共计2</w:t>
      </w:r>
      <w:r>
        <w:rPr>
          <w:rFonts w:ascii="Times New Roman" w:hAnsi="Times New Roman" w:eastAsia="仿宋_GB2312" w:cs="仿宋_GB2312"/>
          <w:sz w:val="32"/>
          <w:szCs w:val="32"/>
        </w:rPr>
        <w:t>0.0</w:t>
      </w:r>
      <w:r>
        <w:rPr>
          <w:rFonts w:hint="eastAsia" w:ascii="Times New Roman" w:hAnsi="Times New Roman" w:eastAsia="仿宋_GB2312" w:cs="仿宋_GB2312"/>
          <w:sz w:val="32"/>
          <w:szCs w:val="32"/>
        </w:rPr>
        <w:t>0分。本项目立项依据充分，绩效目标设置明确、合理，但部分子项目缺少项目建议书、可行性研究报告、项目实施方案、预算编制等资料，立项程序规范性及预算编制科学性有待提高。</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经综合评价，项目决策评价得分18.00分，得分率90.00%。</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（二）项目过程情况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项目过程从“资金管理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采购信息公开及合同履约验收”和“组织实施”两个方面对项目进行评价，分值共计20.00分。该项目政府采购程序和方式合法合规、资金使用较为规范，但缺少财务与业务管理制度、项目资料保存不完整，已完工项目验收不及时等，项目过程管理有待进一步加强。</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经综合评价，项目过程评价得分11.26分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得分率56.30%。</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（三）项目产出情况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项目产出从“产出数量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产出质量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产出时效”和“产出成本”四个方面对项目进行评价，分值共计30.00分。该项目整体实施进度缓慢，完成不及时。</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经综合评价，项目产出评价得分21.67分，得分率72.23%。</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（四）项目效益情况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项目效益从“社会效益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经济效益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生态效益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可持续影响”和“满意度”五个方面对项目进行评价，分值共计30.00分。本项目整体效益良好，通过项目的实施，可以促进县域内社会经济发展，促进相关行业上下游产业发展，调动更多的就业机会，促进当地经济发展、增加当地居民收入。</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经综合评价，项目效益评价得分30.00分，得分率100.00%。</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四、存在的问题</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（一）管理制度不健全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经现场核查，未见项目主管单位与项目实施单位建立财务与业务管理等内部控制制度，管理制度不健全。</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（二）项目过程管理不规范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经现场核查，资料不完整，部分子项目缺少可研报告、项目实施方案等资料；项目在实施过程中缺少对实施进度的管控，无项目管理制度加以约束；已完工的项目未能及时组织验收等，项目过程管理不规范。</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（三）项目进度缓慢</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经核查项目资料以及实地</w:t>
      </w:r>
      <w:r>
        <w:rPr>
          <w:rFonts w:hint="eastAsia" w:ascii="Times New Roman" w:hAnsi="Times New Roman" w:eastAsia="仿宋_GB2312" w:cs="仿宋_GB2312"/>
          <w:sz w:val="32"/>
          <w:szCs w:val="32"/>
          <w:highlight w:val="none"/>
          <w:lang w:eastAsia="zh-CN"/>
        </w:rPr>
        <w:t>查看</w:t>
      </w:r>
      <w:r>
        <w:rPr>
          <w:rFonts w:hint="eastAsia" w:ascii="Times New Roman" w:hAnsi="Times New Roman" w:eastAsia="仿宋_GB2312" w:cs="仿宋_GB2312"/>
          <w:sz w:val="32"/>
          <w:szCs w:val="32"/>
        </w:rPr>
        <w:t>，部分子项目实施进度缓慢，例如：（飞猪）数字露营地项目、佛坪县王家湾绿色水果采摘园改造提升项目以及三资三化管理平台建设项目尚未开始实施；佛坪县老街文化休闲博物馆项目计划2023年3月完成，但截止评价日，该项目一楼基本完工，二楼至四楼未开始实施；佛坪县食用菌产业园提质增效建设项目仅采购了部分设备，其他未开始实施；携程农庄佛坪沙窝村项目计划2023年1月完成，截止评价日，该项目主体已完工，但未及时组织验收，未完成结算审核。</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五、有关建议</w:t>
      </w:r>
    </w:p>
    <w:p>
      <w:pPr>
        <w:spacing w:line="560" w:lineRule="exact"/>
        <w:ind w:firstLine="643" w:firstLineChars="200"/>
        <w:rPr>
          <w:rFonts w:ascii="Times New Roman" w:hAnsi="Times New Roman" w:eastAsia="楷体" w:cs="楷体"/>
          <w:b/>
          <w:bCs/>
          <w:sz w:val="32"/>
          <w:szCs w:val="32"/>
        </w:rPr>
      </w:pPr>
      <w:r>
        <w:rPr>
          <w:rFonts w:ascii="Times New Roman" w:hAnsi="Times New Roman" w:eastAsia="楷体" w:cs="楷体"/>
          <w:b/>
          <w:bCs/>
          <w:sz w:val="32"/>
          <w:szCs w:val="32"/>
        </w:rPr>
        <w:t>（一）</w:t>
      </w:r>
      <w:r>
        <w:rPr>
          <w:rFonts w:hint="eastAsia" w:ascii="Times New Roman" w:hAnsi="Times New Roman" w:eastAsia="楷体" w:cs="楷体"/>
          <w:b/>
          <w:bCs/>
          <w:sz w:val="32"/>
          <w:szCs w:val="32"/>
        </w:rPr>
        <w:t>健全财务与业务管理制度等内控制度</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建议项目实施单位与项目主管单位结合项目实际情况，建立系统、完善的管理制度，对各项活动的风险进行防范和管控，保障财政资金使用安全、提高项目的运行效率。</w:t>
      </w:r>
    </w:p>
    <w:p>
      <w:pPr>
        <w:spacing w:line="560" w:lineRule="exact"/>
        <w:ind w:firstLine="643" w:firstLineChars="200"/>
        <w:rPr>
          <w:rFonts w:ascii="Times New Roman" w:hAnsi="Times New Roman" w:eastAsia="楷体" w:cs="楷体"/>
          <w:b/>
          <w:bCs/>
          <w:sz w:val="32"/>
          <w:szCs w:val="32"/>
        </w:rPr>
      </w:pPr>
      <w:r>
        <w:rPr>
          <w:rFonts w:hint="eastAsia" w:ascii="Times New Roman" w:hAnsi="Times New Roman" w:eastAsia="楷体" w:cs="楷体"/>
          <w:b/>
          <w:bCs/>
          <w:sz w:val="32"/>
          <w:szCs w:val="32"/>
        </w:rPr>
        <w:t>（二）完善全过程管理机制，做好项目过程管理</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楷体"/>
          <w:sz w:val="32"/>
          <w:szCs w:val="32"/>
        </w:rPr>
        <w:t>建议项目单位完善全过程管理机制，统筹项目管理，推进工程管理责任制落实，加强对项目建设过程中的监督检查，确保项目有效组织实施。</w:t>
      </w:r>
    </w:p>
    <w:p>
      <w:pPr>
        <w:spacing w:line="560" w:lineRule="exact"/>
        <w:ind w:firstLine="643" w:firstLineChars="200"/>
        <w:rPr>
          <w:rFonts w:ascii="Times New Roman" w:hAnsi="Times New Roman" w:eastAsia="楷体" w:cs="楷体"/>
          <w:b/>
          <w:bCs/>
          <w:sz w:val="32"/>
          <w:szCs w:val="32"/>
        </w:rPr>
      </w:pPr>
      <w:r>
        <w:rPr>
          <w:rFonts w:hint="eastAsia" w:ascii="Times New Roman" w:hAnsi="Times New Roman" w:eastAsia="楷体" w:cs="楷体"/>
          <w:b/>
          <w:bCs/>
          <w:sz w:val="32"/>
          <w:szCs w:val="32"/>
        </w:rPr>
        <w:t>（三）加快推进项目实施进度，确保项目按照计划完成实施</w:t>
      </w:r>
    </w:p>
    <w:p>
      <w:pPr>
        <w:spacing w:line="560" w:lineRule="exact"/>
        <w:ind w:firstLine="640" w:firstLineChars="200"/>
        <w:rPr>
          <w:rFonts w:hint="eastAsia" w:ascii="方正小标宋简体" w:hAnsi="仿宋" w:eastAsia="方正小标宋简体"/>
          <w:color w:val="000000"/>
          <w:sz w:val="44"/>
          <w:szCs w:val="44"/>
        </w:rPr>
      </w:pPr>
      <w:r>
        <w:rPr>
          <w:rFonts w:hint="eastAsia" w:ascii="Times New Roman" w:hAnsi="Times New Roman" w:eastAsia="仿宋_GB2312" w:cs="楷体"/>
          <w:sz w:val="32"/>
          <w:szCs w:val="32"/>
        </w:rPr>
        <w:t>项目单位应充分考虑项目实施情况中所发生的各种情况，尽量减少其他因素对项目进度的影响，在项目建成后应积极组织进行各项验收、审计、登记等工作，推动项目早日投入使用，按期产生效益。</w:t>
      </w:r>
    </w:p>
    <w:p>
      <w:pPr>
        <w:spacing w:line="640" w:lineRule="exact"/>
        <w:ind w:left="1349" w:hanging="720"/>
        <w:jc w:val="center"/>
        <w:rPr>
          <w:rFonts w:hint="eastAsia" w:ascii="方正小标宋简体" w:hAnsi="仿宋" w:eastAsia="方正小标宋简体"/>
          <w:color w:val="000000"/>
          <w:sz w:val="44"/>
          <w:szCs w:val="4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佛坪县东岳殿冷链物流基础设施建设项目绩效评价报告</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一、基本情况</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（一）项目背景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随着农业结构调整和居民</w:t>
      </w:r>
      <w:r>
        <w:rPr>
          <w:rFonts w:hint="eastAsia" w:ascii="Times New Roman" w:hAnsi="Times New Roman" w:eastAsia="仿宋_GB2312" w:cs="仿宋_GB2312"/>
          <w:sz w:val="32"/>
          <w:szCs w:val="32"/>
          <w:highlight w:val="none"/>
          <w:lang w:eastAsia="zh-CN"/>
        </w:rPr>
        <w:t>消费</w:t>
      </w:r>
      <w:r>
        <w:rPr>
          <w:rFonts w:hint="eastAsia" w:ascii="Times New Roman" w:hAnsi="Times New Roman" w:eastAsia="仿宋_GB2312" w:cs="仿宋_GB2312"/>
          <w:sz w:val="32"/>
          <w:szCs w:val="32"/>
        </w:rPr>
        <w:t>水平的提高，生鲜农产品的产量和流通量逐年增加，加快发展农产品冷链物流，对于促进农民持续增收和保障消费安全意义重大。</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佛坪县东岳殿冷链物流基础设施建设项目的建设，以物流产业发展作为牵引力，形成区域性的物资交易体系，提高物流运行效率，进而带动相关的交通运输业、商贸业、金融业、信息业和旅游餐饮业等第三产业的全面发展，充分利用区域资源促进产业、经济发展，促进农民</w:t>
      </w:r>
      <w:r>
        <w:rPr>
          <w:rFonts w:hint="eastAsia" w:ascii="Times New Roman" w:hAnsi="Times New Roman" w:eastAsia="仿宋_GB2312" w:cs="仿宋_GB2312"/>
          <w:sz w:val="32"/>
          <w:szCs w:val="32"/>
          <w:lang w:val="en-US" w:eastAsia="zh-CN"/>
        </w:rPr>
        <w:t>消费</w:t>
      </w:r>
      <w:r>
        <w:rPr>
          <w:rFonts w:hint="eastAsia" w:ascii="Times New Roman" w:hAnsi="Times New Roman" w:eastAsia="仿宋_GB2312" w:cs="仿宋_GB2312"/>
          <w:sz w:val="32"/>
          <w:szCs w:val="32"/>
        </w:rPr>
        <w:t>持续增收和保障消费安全。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为贯彻落实国家及地方政策、规划，积极推动佛坪县冷链物流产业的发展，推动佛坪县区域经济的平稳快速发展，佛坪投资集团有限公司提出本项目建设。</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（二）</w:t>
      </w:r>
      <w:r>
        <w:rPr>
          <w:rFonts w:ascii="Times New Roman" w:hAnsi="Times New Roman" w:eastAsia="仿宋_GB2312" w:cs="仿宋_GB2312"/>
          <w:b/>
          <w:bCs/>
          <w:sz w:val="32"/>
          <w:szCs w:val="32"/>
        </w:rPr>
        <w:t>项目</w:t>
      </w:r>
      <w:r>
        <w:rPr>
          <w:rFonts w:hint="eastAsia" w:ascii="Times New Roman" w:hAnsi="Times New Roman" w:eastAsia="仿宋_GB2312" w:cs="仿宋_GB2312"/>
          <w:b/>
          <w:bCs/>
          <w:sz w:val="32"/>
          <w:szCs w:val="32"/>
        </w:rPr>
        <w:t>主要内容及实施情况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位于佛坪县袁家庄街道东岳殿村，占地面积6,996.27平方米，地上总建筑面积6,644.00平方米，其中冷库建筑面积383.00平方米，标准化仓储中心建筑面积4,466.00平方米，业务与管理用房建筑面积1,638.00平方米，其他建筑面积158.00平方米，配套建设给排水、消防、绿化、道路及货场硬化</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rPr>
        <w:t>。</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项目概算总投资为3,983.83万元，其中工程建筑安装预算费用2,901.63万元，工程建设其他费用792.03万元，工程建设预备费155.13万元，建设期贷款利息135.04万元。资金来源为政府专项债券资金及企业自筹</w:t>
      </w:r>
      <w:r>
        <w:rPr>
          <w:rFonts w:hint="eastAsia" w:ascii="Times New Roman" w:hAnsi="Times New Roman" w:eastAsia="仿宋_GB2312" w:cs="仿宋_GB2312"/>
          <w:sz w:val="32"/>
          <w:szCs w:val="32"/>
          <w:lang w:val="en-US" w:eastAsia="zh-CN"/>
        </w:rPr>
        <w:t>资金</w:t>
      </w:r>
      <w:r>
        <w:rPr>
          <w:rFonts w:hint="eastAsia" w:ascii="Times New Roman" w:hAnsi="Times New Roman" w:eastAsia="仿宋_GB2312" w:cs="仿宋_GB2312"/>
          <w:sz w:val="32"/>
          <w:szCs w:val="32"/>
        </w:rPr>
        <w:t>。</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截止评价日，项目主体工程已竣工验收，尚未投入运营。</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（二）资金情况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2022年6月30日，佛坪县财政局下达2022年新增政府专项债券资金1,200.00万元，专项用于本项目。2022年7月8日，佛坪投资集团有限公司收到该专项债券资金。</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截止评价日，专项债券资金已全部支出，均用于支付工程款，资金使用率</w:t>
      </w:r>
      <w:r>
        <w:rPr>
          <w:rFonts w:hint="eastAsia" w:ascii="Times New Roman" w:hAnsi="Times New Roman" w:eastAsia="仿宋_GB2312" w:cs="仿宋_GB2312"/>
          <w:sz w:val="32"/>
          <w:szCs w:val="32"/>
          <w:lang w:val="en-US" w:eastAsia="zh-CN"/>
        </w:rPr>
        <w:t>达</w:t>
      </w:r>
      <w:r>
        <w:rPr>
          <w:rFonts w:hint="eastAsia" w:ascii="Times New Roman" w:hAnsi="Times New Roman" w:eastAsia="仿宋_GB2312" w:cs="仿宋_GB2312"/>
          <w:sz w:val="32"/>
          <w:szCs w:val="32"/>
        </w:rPr>
        <w:t>100.00%。</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二、综合评价结论</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对项目实施实地调研、资料复核，对主管部门、实施单位等相关人员进行访谈，本项目各项工作基本按设定目标完成，项目整体绩效优秀。项目的实施符合《“十四五”冷链物流发展规划》以及《陕西省人民政府办公厅关于进一步推进物流降本增效促进实体经济发展的实施意见》（陕政办发〔2018〕3号）要求，能够提升物流的专业化和社会化服务水平，有利于促进区域经济健康快速发展。但在项目制度的建设与执行方面有待进一步完善，配套基础设施等未完成工程须加强组织实施，确保项目尽快投入使用，避免工期拖延影响项目的现金流入，使项目净收益减少。</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本次绩效评价按照</w:t>
      </w:r>
      <w:r>
        <w:rPr>
          <w:rFonts w:hint="eastAsia" w:ascii="Times New Roman" w:hAnsi="Times New Roman" w:eastAsia="仿宋_GB2312" w:cs="仿宋_GB2312"/>
          <w:sz w:val="32"/>
          <w:szCs w:val="32"/>
          <w:lang w:val="en-US" w:eastAsia="zh-CN"/>
        </w:rPr>
        <w:t>从</w:t>
      </w:r>
      <w:r>
        <w:rPr>
          <w:rFonts w:hint="eastAsia" w:ascii="Times New Roman" w:hAnsi="Times New Roman" w:eastAsia="仿宋_GB2312" w:cs="仿宋_GB2312"/>
          <w:sz w:val="32"/>
          <w:szCs w:val="32"/>
        </w:rPr>
        <w:t>决策、过程到产出、效果和影响的绩效逻辑路径，从项目立项审批、项目管理、资金使用、组织实施、项目产出、项目社会效益、生态效益等方面对项目进行客观分析。围绕项目决策、项目过程、项目管理、项目绩效四大指标体系进行综合评分。</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经综合评价，本次佛坪县东岳殿冷链物流基础设施建设项目绩效评价得分90.00分，综合评价结果等级为“优”。</w:t>
      </w:r>
    </w:p>
    <w:p>
      <w:pPr>
        <w:spacing w:line="560" w:lineRule="exact"/>
        <w:jc w:val="center"/>
        <w:rPr>
          <w:rFonts w:ascii="Times New Roman" w:hAnsi="Times New Roman" w:eastAsia="仿宋_GB2312" w:cs="仿宋_GB2312"/>
          <w:b/>
          <w:bCs/>
          <w:sz w:val="28"/>
          <w:szCs w:val="28"/>
        </w:rPr>
      </w:pPr>
      <w:r>
        <w:rPr>
          <w:rFonts w:ascii="Times New Roman" w:hAnsi="Times New Roman" w:eastAsia="仿宋_GB2312" w:cs="仿宋_GB2312"/>
          <w:b/>
          <w:bCs/>
          <w:sz w:val="28"/>
          <w:szCs w:val="28"/>
        </w:rPr>
        <w:t>表</w:t>
      </w:r>
      <w:r>
        <w:rPr>
          <w:rFonts w:hint="eastAsia" w:ascii="Times New Roman" w:hAnsi="Times New Roman" w:eastAsia="仿宋_GB2312" w:cs="仿宋_GB2312"/>
          <w:b/>
          <w:bCs/>
          <w:sz w:val="28"/>
          <w:szCs w:val="28"/>
        </w:rPr>
        <w:t>2</w:t>
      </w:r>
      <w:r>
        <w:rPr>
          <w:rFonts w:ascii="Times New Roman" w:hAnsi="Times New Roman" w:eastAsia="仿宋_GB2312" w:cs="仿宋_GB2312"/>
          <w:b/>
          <w:bCs/>
          <w:sz w:val="28"/>
          <w:szCs w:val="28"/>
        </w:rPr>
        <w:t>-1</w:t>
      </w:r>
      <w:r>
        <w:rPr>
          <w:rFonts w:hint="eastAsia" w:ascii="Times New Roman" w:hAnsi="Times New Roman" w:eastAsia="仿宋_GB2312" w:cs="仿宋_GB2312"/>
          <w:b/>
          <w:bCs/>
          <w:sz w:val="28"/>
          <w:szCs w:val="28"/>
        </w:rPr>
        <w:t xml:space="preserve"> 佛坪县东岳殿冷链物流基础设施建设项目</w:t>
      </w:r>
      <w:r>
        <w:rPr>
          <w:rFonts w:ascii="Times New Roman" w:hAnsi="Times New Roman" w:eastAsia="仿宋_GB2312" w:cs="仿宋_GB2312"/>
          <w:b/>
          <w:bCs/>
          <w:sz w:val="28"/>
          <w:szCs w:val="28"/>
        </w:rPr>
        <w:t>指标评分表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Times New Roman" w:hAnsi="Times New Roman" w:eastAsia="仿宋_GB2312" w:cs="仿宋_GB2312"/>
                <w:b/>
                <w:bCs/>
                <w:sz w:val="28"/>
                <w:szCs w:val="28"/>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Times New Roman" w:hAnsi="Times New Roman" w:eastAsia="仿宋_GB2312" w:cs="仿宋_GB2312"/>
                <w:b/>
                <w:bCs/>
                <w:sz w:val="28"/>
                <w:szCs w:val="28"/>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Times New Roman" w:hAnsi="Times New Roman" w:eastAsia="仿宋_GB2312" w:cs="仿宋_GB2312"/>
                <w:b/>
                <w:bCs/>
                <w:sz w:val="28"/>
                <w:szCs w:val="28"/>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Times New Roman" w:hAnsi="Times New Roman" w:eastAsia="仿宋_GB2312" w:cs="仿宋_GB2312"/>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2</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Times New Roman" w:hAnsi="Times New Roman" w:eastAsia="仿宋_GB2312" w:cs="仿宋_GB2312"/>
                <w:sz w:val="24"/>
              </w:rPr>
              <w:t>19.00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9</w:t>
            </w:r>
            <w:r>
              <w:rPr>
                <w:rFonts w:ascii="Times New Roman" w:hAnsi="Times New Roman" w:eastAsia="仿宋_GB2312" w:cs="仿宋_GB2312"/>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过程</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3</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2</w:t>
            </w:r>
            <w:r>
              <w:rPr>
                <w:rFonts w:ascii="Times New Roman" w:hAnsi="Times New Roman" w:eastAsia="仿宋_GB2312" w:cs="仿宋_GB2312"/>
                <w:sz w:val="24"/>
              </w:rPr>
              <w:t>4</w:t>
            </w:r>
            <w:r>
              <w:rPr>
                <w:rFonts w:hint="eastAsia" w:ascii="Times New Roman" w:hAnsi="Times New Roman" w:eastAsia="仿宋_GB2312" w:cs="仿宋_GB2312"/>
                <w:sz w:val="24"/>
              </w:rPr>
              <w:t>.8</w:t>
            </w:r>
            <w:r>
              <w:rPr>
                <w:rFonts w:ascii="Times New Roman" w:hAnsi="Times New Roman" w:eastAsia="仿宋_GB2312" w:cs="仿宋_GB2312"/>
                <w:sz w:val="24"/>
              </w:rPr>
              <w:t>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8</w:t>
            </w:r>
            <w:r>
              <w:rPr>
                <w:rFonts w:ascii="Times New Roman" w:hAnsi="Times New Roman" w:eastAsia="仿宋_GB2312" w:cs="仿宋_GB2312"/>
                <w:sz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产出</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2</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1</w:t>
            </w:r>
            <w:r>
              <w:rPr>
                <w:rFonts w:ascii="Times New Roman" w:hAnsi="Times New Roman" w:eastAsia="仿宋_GB2312" w:cs="仿宋_GB2312"/>
                <w:sz w:val="24"/>
              </w:rPr>
              <w:t>7</w:t>
            </w:r>
            <w:r>
              <w:rPr>
                <w:rFonts w:hint="eastAsia" w:ascii="Times New Roman" w:hAnsi="Times New Roman" w:eastAsia="仿宋_GB2312" w:cs="仿宋_GB2312"/>
                <w:sz w:val="24"/>
              </w:rPr>
              <w:t>.7</w:t>
            </w:r>
            <w:r>
              <w:rPr>
                <w:rFonts w:ascii="Times New Roman" w:hAnsi="Times New Roman" w:eastAsia="仿宋_GB2312" w:cs="仿宋_GB2312"/>
                <w:sz w:val="24"/>
              </w:rPr>
              <w:t>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8</w:t>
            </w:r>
            <w:r>
              <w:rPr>
                <w:rFonts w:ascii="Times New Roman" w:hAnsi="Times New Roman" w:eastAsia="仿宋_GB2312" w:cs="仿宋_GB2312"/>
                <w:sz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sz w:val="24"/>
              </w:rPr>
              <w:t>效益</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3</w:t>
            </w:r>
            <w:r>
              <w:rPr>
                <w:rFonts w:ascii="Times New Roman" w:hAnsi="Times New Roman" w:eastAsia="仿宋_GB2312" w:cs="仿宋_GB2312"/>
                <w:sz w:val="24"/>
              </w:rPr>
              <w:t>0.00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2</w:t>
            </w:r>
            <w:r>
              <w:rPr>
                <w:rFonts w:ascii="Times New Roman" w:hAnsi="Times New Roman" w:eastAsia="仿宋_GB2312" w:cs="仿宋_GB2312"/>
                <w:sz w:val="24"/>
              </w:rPr>
              <w:t>8</w:t>
            </w:r>
            <w:r>
              <w:rPr>
                <w:rFonts w:hint="eastAsia" w:ascii="Times New Roman" w:hAnsi="Times New Roman" w:eastAsia="仿宋_GB2312" w:cs="仿宋_GB2312"/>
                <w:sz w:val="24"/>
              </w:rPr>
              <w:t>.5</w:t>
            </w:r>
            <w:r>
              <w:rPr>
                <w:rFonts w:ascii="Times New Roman" w:hAnsi="Times New Roman" w:eastAsia="仿宋_GB2312" w:cs="仿宋_GB2312"/>
                <w:sz w:val="24"/>
              </w:rPr>
              <w:t>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sz w:val="24"/>
              </w:rPr>
              <w:t>9</w:t>
            </w:r>
            <w:r>
              <w:rPr>
                <w:rFonts w:ascii="Times New Roman" w:hAnsi="Times New Roman" w:eastAsia="仿宋_GB2312" w:cs="仿宋_GB2312"/>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Times New Roman" w:hAnsi="Times New Roman" w:eastAsia="仿宋_GB2312" w:cs="仿宋_GB2312"/>
                <w:b/>
                <w:bCs/>
                <w:sz w:val="24"/>
              </w:rPr>
              <w:t>绩效评价得分：</w:t>
            </w:r>
            <w:r>
              <w:rPr>
                <w:rFonts w:ascii="Times New Roman" w:hAnsi="Times New Roman" w:eastAsia="仿宋_GB2312" w:cs="仿宋_GB2312"/>
                <w:b/>
                <w:bCs/>
                <w:sz w:val="24"/>
              </w:rPr>
              <w:t>90.</w:t>
            </w:r>
            <w:r>
              <w:rPr>
                <w:rFonts w:hint="eastAsia" w:ascii="Times New Roman" w:hAnsi="Times New Roman" w:eastAsia="仿宋_GB2312" w:cs="仿宋_GB2312"/>
                <w:b/>
                <w:bCs/>
                <w:sz w:val="24"/>
              </w:rPr>
              <w:t>00   综合评价结果等级：优</w:t>
            </w:r>
          </w:p>
        </w:tc>
      </w:tr>
    </w:tbl>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三、绩效评价指标分析</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（一）项目决策情况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项目决策从“项目立项</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资金投入</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专项债券安排”和“绩效目标”四个方面对项目进行评价，分值共计</w:t>
      </w:r>
      <w:r>
        <w:rPr>
          <w:rFonts w:ascii="Times New Roman" w:hAnsi="Times New Roman" w:eastAsia="仿宋_GB2312" w:cs="仿宋_GB2312"/>
          <w:sz w:val="32"/>
          <w:szCs w:val="32"/>
        </w:rPr>
        <w:t>20.00</w:t>
      </w:r>
      <w:r>
        <w:rPr>
          <w:rFonts w:hint="eastAsia" w:ascii="Times New Roman" w:hAnsi="Times New Roman" w:eastAsia="仿宋_GB2312" w:cs="仿宋_GB2312"/>
          <w:sz w:val="32"/>
          <w:szCs w:val="32"/>
        </w:rPr>
        <w:t>分。本项目立项程序规范，采购实施计划合规，资金投入情况较为合理，但存在部分绩效目标有待进一步完善的情况。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经综合评价，项目决策评价得分19.00分，得分率95.00%。</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（二）项目过程情况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项目管理从“专项债券管理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资金使用管理情况”和“项目组织管理”三个方面对项目进行评价，分值共计3</w:t>
      </w:r>
      <w:r>
        <w:rPr>
          <w:rFonts w:ascii="Times New Roman" w:hAnsi="Times New Roman" w:eastAsia="仿宋_GB2312" w:cs="仿宋_GB2312"/>
          <w:sz w:val="32"/>
          <w:szCs w:val="32"/>
        </w:rPr>
        <w:t>0.00</w:t>
      </w:r>
      <w:r>
        <w:rPr>
          <w:rFonts w:hint="eastAsia" w:ascii="Times New Roman" w:hAnsi="Times New Roman" w:eastAsia="仿宋_GB2312" w:cs="仿宋_GB2312"/>
          <w:sz w:val="32"/>
          <w:szCs w:val="32"/>
        </w:rPr>
        <w:t>分。该项目政府采购程序和方式合法合规、项目整体落实情况较好。但存在项目单位制度有效性执行情况不足的问题。</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经综合评价，项目管理评价得分2</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.8</w:t>
      </w:r>
      <w:r>
        <w:rPr>
          <w:rFonts w:ascii="Times New Roman" w:hAnsi="Times New Roman" w:eastAsia="仿宋_GB2312" w:cs="仿宋_GB2312"/>
          <w:sz w:val="32"/>
          <w:szCs w:val="32"/>
        </w:rPr>
        <w:t>0</w:t>
      </w:r>
      <w:r>
        <w:rPr>
          <w:rFonts w:hint="eastAsia" w:ascii="Times New Roman" w:hAnsi="Times New Roman" w:eastAsia="仿宋_GB2312" w:cs="仿宋_GB2312"/>
          <w:sz w:val="32"/>
          <w:szCs w:val="32"/>
        </w:rPr>
        <w:t>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得分率8</w:t>
      </w:r>
      <w:r>
        <w:rPr>
          <w:rFonts w:ascii="Times New Roman" w:hAnsi="Times New Roman" w:eastAsia="仿宋_GB2312" w:cs="仿宋_GB2312"/>
          <w:sz w:val="32"/>
          <w:szCs w:val="32"/>
        </w:rPr>
        <w:t>2.67</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（三）项目产出情况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项目产出从“产出数量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产出质量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产出时效”和“产出成本”四个方面对项目进行评价，分值共计</w:t>
      </w:r>
      <w:r>
        <w:rPr>
          <w:rFonts w:ascii="Times New Roman" w:hAnsi="Times New Roman" w:eastAsia="仿宋_GB2312" w:cs="仿宋_GB2312"/>
          <w:sz w:val="32"/>
          <w:szCs w:val="32"/>
        </w:rPr>
        <w:t>20.00</w:t>
      </w:r>
      <w:r>
        <w:rPr>
          <w:rFonts w:hint="eastAsia" w:ascii="Times New Roman" w:hAnsi="Times New Roman" w:eastAsia="仿宋_GB2312" w:cs="仿宋_GB2312"/>
          <w:sz w:val="32"/>
          <w:szCs w:val="32"/>
        </w:rPr>
        <w:t>分。该项目政府采购完成情况及绩效目标任务完成情况较好。项目已完成竣工验收，尚未开展工程结算审核工作，尚未投入使用。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经综合评价，项目产出评价得分17.70分，得分率88.50%。</w:t>
      </w:r>
    </w:p>
    <w:p>
      <w:pPr>
        <w:spacing w:line="560" w:lineRule="exact"/>
        <w:ind w:firstLine="643" w:firstLineChars="200"/>
        <w:rPr>
          <w:rFonts w:ascii="Times New Roman" w:hAnsi="Times New Roman" w:eastAsia="楷体" w:cs="仿宋_GB2312"/>
          <w:b/>
          <w:bCs/>
          <w:sz w:val="32"/>
          <w:szCs w:val="32"/>
        </w:rPr>
      </w:pPr>
      <w:r>
        <w:rPr>
          <w:rFonts w:hint="eastAsia" w:ascii="Times New Roman" w:hAnsi="Times New Roman" w:eastAsia="楷体" w:cs="仿宋_GB2312"/>
          <w:b/>
          <w:bCs/>
          <w:sz w:val="32"/>
          <w:szCs w:val="32"/>
        </w:rPr>
        <w:t>（四）项目效益情况</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项目效益从“经济效益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社会效益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生态效益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可持续影响”和“满意度”五个方面对项目进行评价，分值共计</w:t>
      </w:r>
      <w:r>
        <w:rPr>
          <w:rFonts w:ascii="Times New Roman" w:hAnsi="Times New Roman" w:eastAsia="仿宋_GB2312" w:cs="仿宋_GB2312"/>
          <w:sz w:val="32"/>
          <w:szCs w:val="32"/>
        </w:rPr>
        <w:t>30.00</w:t>
      </w:r>
      <w:r>
        <w:rPr>
          <w:rFonts w:hint="eastAsia" w:ascii="Times New Roman" w:hAnsi="Times New Roman" w:eastAsia="仿宋_GB2312" w:cs="仿宋_GB2312"/>
          <w:sz w:val="32"/>
          <w:szCs w:val="32"/>
        </w:rPr>
        <w:t>分。本项目整体效益良好，满意度较高。</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经综合评价，项目效益评价得分2</w:t>
      </w: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.5</w:t>
      </w:r>
      <w:r>
        <w:rPr>
          <w:rFonts w:ascii="Times New Roman" w:hAnsi="Times New Roman" w:eastAsia="仿宋_GB2312" w:cs="仿宋_GB2312"/>
          <w:sz w:val="32"/>
          <w:szCs w:val="32"/>
        </w:rPr>
        <w:t>0</w:t>
      </w:r>
      <w:r>
        <w:rPr>
          <w:rFonts w:hint="eastAsia" w:ascii="Times New Roman" w:hAnsi="Times New Roman" w:eastAsia="仿宋_GB2312" w:cs="仿宋_GB2312"/>
          <w:sz w:val="32"/>
          <w:szCs w:val="32"/>
        </w:rPr>
        <w:t>分，得分率9</w:t>
      </w:r>
      <w:r>
        <w:rPr>
          <w:rFonts w:ascii="Times New Roman" w:hAnsi="Times New Roman" w:eastAsia="仿宋_GB2312" w:cs="仿宋_GB2312"/>
          <w:sz w:val="32"/>
          <w:szCs w:val="32"/>
        </w:rPr>
        <w:t>5.00</w:t>
      </w:r>
      <w:r>
        <w:rPr>
          <w:rFonts w:hint="eastAsia" w:ascii="Times New Roman" w:hAnsi="Times New Roman" w:eastAsia="仿宋_GB2312" w:cs="仿宋_GB2312"/>
          <w:sz w:val="32"/>
          <w:szCs w:val="32"/>
        </w:rPr>
        <w:t>%。</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四、存在的问题</w:t>
      </w:r>
    </w:p>
    <w:p>
      <w:pPr>
        <w:spacing w:line="560" w:lineRule="exact"/>
        <w:ind w:firstLine="643" w:firstLineChars="200"/>
        <w:outlineLvl w:val="0"/>
        <w:rPr>
          <w:rFonts w:ascii="Times New Roman" w:hAnsi="Times New Roman" w:eastAsia="楷体" w:cs="楷体"/>
          <w:b/>
          <w:bCs/>
          <w:sz w:val="32"/>
          <w:szCs w:val="32"/>
        </w:rPr>
      </w:pPr>
      <w:bookmarkStart w:id="0" w:name="_Toc7668"/>
      <w:bookmarkStart w:id="1" w:name="_Toc12239"/>
      <w:r>
        <w:rPr>
          <w:rFonts w:ascii="Times New Roman" w:hAnsi="Times New Roman" w:eastAsia="楷体" w:cs="楷体"/>
          <w:b/>
          <w:bCs/>
          <w:sz w:val="32"/>
          <w:szCs w:val="32"/>
        </w:rPr>
        <w:t>（一）</w:t>
      </w:r>
      <w:r>
        <w:rPr>
          <w:rFonts w:hint="eastAsia" w:ascii="Times New Roman" w:hAnsi="Times New Roman" w:eastAsia="楷体" w:cs="楷体"/>
          <w:b/>
          <w:bCs/>
          <w:sz w:val="32"/>
          <w:szCs w:val="32"/>
        </w:rPr>
        <w:t>绩效目标管理工作有待加强</w:t>
      </w:r>
      <w:bookmarkEnd w:id="0"/>
      <w:bookmarkEnd w:id="1"/>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1.部分绩效指标不够完整有待进一步完善</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例如：时效指标仅设置了“债券发行后年度使用率”与“规范披露信息及时率”指标，未对项目建设进度及时性进行要求；社会效益指标仅设置了“新增就业岗位个数”指标，未体现出项目建成后对当地物流、当地特色产品市场方面的影响等。</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2.个别绩效指标目标值不够科学</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例如：经济效益指标值设置“债券存续期内项目收益”目标值为6,616.75万元，“项目经营总收入”，目标值为8,397.92万元。根据《2022年佛坪县东岳殿冷链物流基础设施建设项目专项债券实施方案》，预期项目收益</w:t>
      </w: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sz w:val="32"/>
          <w:szCs w:val="32"/>
        </w:rPr>
        <w:t>5,049.43万元，预期项目经营总收入为6,142.77万元，目标值远高于项目预期值。目标值设置</w:t>
      </w:r>
      <w:r>
        <w:rPr>
          <w:rFonts w:hint="eastAsia" w:ascii="Times New Roman" w:hAnsi="Times New Roman" w:eastAsia="仿宋_GB2312" w:cs="仿宋_GB2312"/>
          <w:sz w:val="32"/>
          <w:szCs w:val="32"/>
          <w:lang w:val="en-US" w:eastAsia="zh-CN"/>
        </w:rPr>
        <w:t>得</w:t>
      </w:r>
      <w:r>
        <w:rPr>
          <w:rFonts w:hint="eastAsia" w:ascii="Times New Roman" w:hAnsi="Times New Roman" w:eastAsia="仿宋_GB2312" w:cs="仿宋_GB2312"/>
          <w:sz w:val="32"/>
          <w:szCs w:val="32"/>
        </w:rPr>
        <w:t>不够科学。</w:t>
      </w:r>
    </w:p>
    <w:p>
      <w:pPr>
        <w:spacing w:line="560" w:lineRule="exact"/>
        <w:ind w:firstLine="643" w:firstLineChars="200"/>
        <w:outlineLvl w:val="0"/>
        <w:rPr>
          <w:rFonts w:ascii="Times New Roman" w:hAnsi="Times New Roman" w:eastAsia="楷体" w:cs="楷体"/>
          <w:b/>
          <w:bCs/>
          <w:sz w:val="32"/>
          <w:szCs w:val="32"/>
        </w:rPr>
      </w:pPr>
      <w:bookmarkStart w:id="2" w:name="_Toc11274"/>
      <w:bookmarkStart w:id="3" w:name="_Toc29520"/>
      <w:r>
        <w:rPr>
          <w:rFonts w:ascii="Times New Roman" w:hAnsi="Times New Roman" w:eastAsia="楷体" w:cs="楷体"/>
          <w:b/>
          <w:bCs/>
          <w:sz w:val="32"/>
          <w:szCs w:val="32"/>
        </w:rPr>
        <w:t>（</w:t>
      </w:r>
      <w:r>
        <w:rPr>
          <w:rFonts w:hint="eastAsia" w:ascii="Times New Roman" w:hAnsi="Times New Roman" w:eastAsia="楷体" w:cs="楷体"/>
          <w:b/>
          <w:bCs/>
          <w:sz w:val="32"/>
          <w:szCs w:val="32"/>
        </w:rPr>
        <w:t>二</w:t>
      </w:r>
      <w:r>
        <w:rPr>
          <w:rFonts w:ascii="Times New Roman" w:hAnsi="Times New Roman" w:eastAsia="楷体" w:cs="楷体"/>
          <w:b/>
          <w:bCs/>
          <w:sz w:val="32"/>
          <w:szCs w:val="32"/>
        </w:rPr>
        <w:t>）</w:t>
      </w:r>
      <w:r>
        <w:rPr>
          <w:rFonts w:hint="eastAsia" w:ascii="Times New Roman" w:hAnsi="Times New Roman" w:eastAsia="楷体" w:cs="楷体"/>
          <w:b/>
          <w:bCs/>
          <w:sz w:val="32"/>
          <w:szCs w:val="32"/>
        </w:rPr>
        <w:t>制度的制定与执行方面有待进一步完善与提高</w:t>
      </w:r>
      <w:bookmarkEnd w:id="2"/>
      <w:bookmarkEnd w:id="3"/>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制度制定方面，佛坪投资集团有限公司编制了《政府专项债资金申报、使用管理办法》，对资金使用范围、拨付流程进行了明确的规定，未建立明确的监督管理机制，未制定具体的专项债券资金使用计划，仅通过专项资金管理办法无法约束、监督实际的资金使用进度等情况；未见项目管理制度。</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在制度执行方面，佛坪投资集团未按照《政府专项债资金申报、使用管理办法》与上级主管部门签订《专项债资金使用偿还协议》，未建立专项债券资金独立银行账户等。</w:t>
      </w:r>
    </w:p>
    <w:p>
      <w:pPr>
        <w:spacing w:line="560" w:lineRule="exact"/>
        <w:ind w:firstLine="643" w:firstLineChars="200"/>
        <w:outlineLvl w:val="0"/>
        <w:rPr>
          <w:rFonts w:ascii="Times New Roman" w:hAnsi="Times New Roman" w:eastAsia="楷体" w:cs="楷体"/>
          <w:b/>
          <w:bCs/>
          <w:sz w:val="32"/>
          <w:szCs w:val="32"/>
        </w:rPr>
      </w:pPr>
      <w:bookmarkStart w:id="4" w:name="_Toc11749"/>
      <w:bookmarkStart w:id="5" w:name="_Toc15398"/>
      <w:r>
        <w:rPr>
          <w:rFonts w:ascii="Times New Roman" w:hAnsi="Times New Roman" w:eastAsia="楷体" w:cs="楷体"/>
          <w:b/>
          <w:bCs/>
          <w:sz w:val="32"/>
          <w:szCs w:val="32"/>
        </w:rPr>
        <w:t>（</w:t>
      </w:r>
      <w:r>
        <w:rPr>
          <w:rFonts w:hint="eastAsia" w:ascii="Times New Roman" w:hAnsi="Times New Roman" w:eastAsia="楷体" w:cs="楷体"/>
          <w:b/>
          <w:bCs/>
          <w:sz w:val="32"/>
          <w:szCs w:val="32"/>
        </w:rPr>
        <w:t>三</w:t>
      </w:r>
      <w:r>
        <w:rPr>
          <w:rFonts w:ascii="Times New Roman" w:hAnsi="Times New Roman" w:eastAsia="楷体" w:cs="楷体"/>
          <w:b/>
          <w:bCs/>
          <w:sz w:val="32"/>
          <w:szCs w:val="32"/>
        </w:rPr>
        <w:t>）</w:t>
      </w:r>
      <w:r>
        <w:rPr>
          <w:rFonts w:hint="eastAsia" w:ascii="Times New Roman" w:hAnsi="Times New Roman" w:eastAsia="楷体" w:cs="楷体"/>
          <w:b/>
          <w:bCs/>
          <w:sz w:val="32"/>
          <w:szCs w:val="32"/>
        </w:rPr>
        <w:t>项目未按期投入运营，未能按时取得预期收益</w:t>
      </w:r>
      <w:bookmarkEnd w:id="4"/>
      <w:bookmarkEnd w:id="5"/>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截止评价日，项目主体已竣工验收，尚未投入运营，未能按时（2023年6月）取得预期收益，专项债券每半年支付一次利息，可能形成偿债风险。</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五、有关建议</w:t>
      </w:r>
    </w:p>
    <w:p>
      <w:pPr>
        <w:spacing w:line="560" w:lineRule="exact"/>
        <w:ind w:firstLine="575" w:firstLineChars="200"/>
        <w:outlineLvl w:val="0"/>
        <w:rPr>
          <w:rFonts w:ascii="Times New Roman" w:hAnsi="Times New Roman" w:eastAsia="楷体" w:cs="楷体"/>
          <w:b/>
          <w:bCs/>
          <w:spacing w:val="-17"/>
          <w:sz w:val="32"/>
          <w:szCs w:val="32"/>
        </w:rPr>
      </w:pPr>
      <w:bookmarkStart w:id="6" w:name="_Toc6492"/>
      <w:bookmarkStart w:id="7" w:name="_Toc14034"/>
      <w:r>
        <w:rPr>
          <w:rFonts w:ascii="Times New Roman" w:hAnsi="Times New Roman" w:eastAsia="楷体" w:cs="楷体"/>
          <w:b/>
          <w:bCs/>
          <w:spacing w:val="-17"/>
          <w:sz w:val="32"/>
          <w:szCs w:val="32"/>
        </w:rPr>
        <w:t>（一）</w:t>
      </w:r>
      <w:r>
        <w:rPr>
          <w:rFonts w:hint="eastAsia" w:ascii="Times New Roman" w:hAnsi="Times New Roman" w:eastAsia="楷体" w:cs="楷体"/>
          <w:b/>
          <w:bCs/>
          <w:spacing w:val="-17"/>
          <w:sz w:val="32"/>
          <w:szCs w:val="32"/>
        </w:rPr>
        <w:t>加强绩效目标管理，提高指标设置</w:t>
      </w:r>
      <w:r>
        <w:rPr>
          <w:rFonts w:hint="eastAsia" w:ascii="Times New Roman" w:hAnsi="Times New Roman" w:eastAsia="楷体" w:cs="楷体"/>
          <w:b/>
          <w:bCs/>
          <w:spacing w:val="-17"/>
          <w:sz w:val="32"/>
          <w:szCs w:val="32"/>
          <w:lang w:val="en-US" w:eastAsia="zh-CN"/>
        </w:rPr>
        <w:t>的</w:t>
      </w:r>
      <w:r>
        <w:rPr>
          <w:rFonts w:hint="eastAsia" w:ascii="Times New Roman" w:hAnsi="Times New Roman" w:eastAsia="楷体" w:cs="楷体"/>
          <w:b/>
          <w:bCs/>
          <w:spacing w:val="-17"/>
          <w:sz w:val="32"/>
          <w:szCs w:val="32"/>
        </w:rPr>
        <w:t>科学性和精细化水平</w:t>
      </w:r>
      <w:bookmarkEnd w:id="6"/>
      <w:bookmarkEnd w:id="7"/>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绩效目标是实施绩效监控、开展绩效评价的重要基础，绩效目标应围绕可量化、可衡量、可评价的维度设计。建议相关单位根据项目实施的主要任务和实施内容，制定科学合理的绩效目标，全面反映项目投入、产出和效益。</w:t>
      </w:r>
    </w:p>
    <w:p>
      <w:pPr>
        <w:spacing w:line="560" w:lineRule="exact"/>
        <w:ind w:firstLine="643" w:firstLineChars="200"/>
        <w:outlineLvl w:val="0"/>
        <w:rPr>
          <w:rFonts w:ascii="Times New Roman" w:hAnsi="Times New Roman" w:eastAsia="楷体" w:cs="楷体"/>
          <w:b/>
          <w:bCs/>
          <w:sz w:val="32"/>
          <w:szCs w:val="32"/>
        </w:rPr>
      </w:pPr>
      <w:bookmarkStart w:id="8" w:name="_Toc17871"/>
      <w:bookmarkStart w:id="9" w:name="_Toc30579"/>
      <w:r>
        <w:rPr>
          <w:rFonts w:ascii="Times New Roman" w:hAnsi="Times New Roman" w:eastAsia="楷体" w:cs="楷体"/>
          <w:b/>
          <w:bCs/>
          <w:sz w:val="32"/>
          <w:szCs w:val="32"/>
        </w:rPr>
        <w:t>（</w:t>
      </w:r>
      <w:r>
        <w:rPr>
          <w:rFonts w:hint="eastAsia" w:ascii="Times New Roman" w:hAnsi="Times New Roman" w:eastAsia="楷体" w:cs="楷体"/>
          <w:b/>
          <w:bCs/>
          <w:sz w:val="32"/>
          <w:szCs w:val="32"/>
        </w:rPr>
        <w:t>二</w:t>
      </w:r>
      <w:r>
        <w:rPr>
          <w:rFonts w:ascii="Times New Roman" w:hAnsi="Times New Roman" w:eastAsia="楷体" w:cs="楷体"/>
          <w:b/>
          <w:bCs/>
          <w:sz w:val="32"/>
          <w:szCs w:val="32"/>
        </w:rPr>
        <w:t>）</w:t>
      </w:r>
      <w:r>
        <w:rPr>
          <w:rFonts w:hint="eastAsia" w:ascii="Times New Roman" w:hAnsi="Times New Roman" w:eastAsia="楷体" w:cs="楷体"/>
          <w:b/>
          <w:bCs/>
          <w:sz w:val="32"/>
          <w:szCs w:val="32"/>
        </w:rPr>
        <w:t>加强制度的建设工作并严格执行</w:t>
      </w:r>
      <w:bookmarkEnd w:id="8"/>
      <w:bookmarkEnd w:id="9"/>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针对专项债券资金项目，建议佛坪投资集团有限公司建立系统、完善的管理制度，对专项债券资金的筹措、使用、效益等方面进行多维度管理，规范专项债券资金的发行、资金使用和偿还等行为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建议佛坪投资集团有限公司根据项目实际情况，制定偏差调整方案、风险防控机制、成本控制等项目管理制度。</w:t>
      </w:r>
    </w:p>
    <w:p>
      <w:pPr>
        <w:spacing w:line="56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（三）做好项目进度管理，确保项目尽快投入运营</w:t>
      </w:r>
    </w:p>
    <w:p>
      <w:pPr>
        <w:spacing w:line="640" w:lineRule="exact"/>
        <w:ind w:firstLine="640" w:firstLineChars="200"/>
        <w:jc w:val="left"/>
        <w:rPr>
          <w:rFonts w:hint="eastAsia" w:ascii="方正小标宋简体" w:hAnsi="仿宋" w:eastAsia="方正小标宋简体"/>
          <w:color w:val="000000"/>
          <w:sz w:val="44"/>
          <w:szCs w:val="44"/>
        </w:rPr>
      </w:pPr>
      <w:r>
        <w:rPr>
          <w:rFonts w:hint="eastAsia" w:ascii="Times New Roman" w:hAnsi="Times New Roman" w:eastAsia="仿宋_GB2312" w:cs="仿宋_GB2312"/>
          <w:sz w:val="32"/>
          <w:szCs w:val="32"/>
        </w:rPr>
        <w:t>项目单位应充分考虑项目实施情况中所发生的各种情况，尽量减少其他因素对项目进度的影响，在项目建成后应积极组织进行各项验收、审计、登记等工作，推动项目早日投入使用，按期产生效益，避免由于工期拖延导致减少项目收益、增加偿债风险。</w:t>
      </w:r>
    </w:p>
    <w:p>
      <w:pPr>
        <w:spacing w:line="640" w:lineRule="exact"/>
        <w:ind w:left="1349" w:hanging="720"/>
        <w:jc w:val="center"/>
        <w:rPr>
          <w:rFonts w:hint="eastAsia" w:ascii="方正小标宋简体" w:hAnsi="仿宋" w:eastAsia="方正小标宋简体"/>
          <w:color w:val="000000"/>
          <w:sz w:val="44"/>
          <w:szCs w:val="4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石墩河镇政府移民点至拐滩段道路建设</w:t>
      </w:r>
    </w:p>
    <w:p>
      <w:pPr>
        <w:spacing w:line="640" w:lineRule="exact"/>
        <w:jc w:val="center"/>
        <w:rPr>
          <w:rFonts w:hint="eastAsia" w:ascii="方正小标宋简体" w:hAnsi="方正小标宋简体" w:eastAsia="方正小标宋简体" w:cs="方正小标宋简体"/>
          <w:sz w:val="44"/>
          <w:szCs w:val="44"/>
          <w:highlight w:val="yellow"/>
        </w:rPr>
      </w:pPr>
      <w:r>
        <w:rPr>
          <w:rFonts w:hint="eastAsia" w:ascii="方正小标宋简体" w:hAnsi="方正小标宋简体" w:eastAsia="方正小标宋简体" w:cs="方正小标宋简体"/>
          <w:sz w:val="44"/>
          <w:szCs w:val="44"/>
        </w:rPr>
        <w:t>项目绩效评价报告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（一）项目背景</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石墩河镇新迁集镇位于迥龙寺村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安置库区移民和陕南移民382户1260人，为妥善化解移民搬迁后续安置问题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保障群众生产生活</w:t>
      </w:r>
      <w:r>
        <w:rPr>
          <w:rFonts w:hint="eastAsia"/>
          <w:lang w:eastAsia="zh-CN"/>
        </w:rPr>
        <w:t>，</w:t>
      </w:r>
      <w:r>
        <w:rPr>
          <w:rFonts w:hint="eastAsia" w:ascii="仿宋_GB2312" w:hAnsi="仿宋_GB2312" w:eastAsia="仿宋_GB2312" w:cs="仿宋_GB2312"/>
          <w:sz w:val="32"/>
          <w:szCs w:val="32"/>
        </w:rPr>
        <w:t>石墩河人民政府申请打通集镇附近断头路一处，项目批复资金2,189,000.00元，项目实际完成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新建四级公路长度248.0m，路基宽7.5m，路面宽6.5m，新建涵洞2道，防撞护栏长210.4m，无水沟，且路肩变更为水泥路面一次性实施，2022年9月1日开工，11月30日完工，2023年2月完成竣工验收。</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（二）资金情况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石墩河镇政府移民点至拐滩段道路建设项目可行性研究报告的批复》（佛发改发〔2022〕245号）项目批复资金2,189,000.00元，其中2,000,000.00元为革命老区转移支付资金，189,000.00元为自筹资金（佛财办预〔2022〕11号）。已支付项目施工资金1,960,923.02元，监理费用35,000.00元。</w:t>
      </w:r>
    </w:p>
    <w:p>
      <w:pPr>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评价组认为“石墩河镇政府移民点至拐滩段道路建设项目”各项工作基本按设定年度目标完成，项目整体支出绩效良好，通过项目</w:t>
      </w:r>
      <w:r>
        <w:rPr>
          <w:rFonts w:hint="eastAsia" w:ascii="Times New Roman" w:hAnsi="Times New Roman" w:eastAsia="仿宋_GB2312"/>
          <w:sz w:val="30"/>
          <w:szCs w:val="30"/>
        </w:rPr>
        <w:t>的展开，完善了石墩河镇交通网，改善了群众的出行条件，提升了集镇老区群众生活质量，改善</w:t>
      </w:r>
      <w:r>
        <w:rPr>
          <w:rFonts w:hint="eastAsia" w:ascii="Times New Roman" w:hAnsi="Times New Roman" w:eastAsia="仿宋_GB2312"/>
          <w:sz w:val="30"/>
          <w:szCs w:val="30"/>
          <w:lang w:eastAsia="zh-CN"/>
        </w:rPr>
        <w:t>了</w:t>
      </w:r>
      <w:r>
        <w:rPr>
          <w:rFonts w:hint="eastAsia" w:ascii="Times New Roman" w:hAnsi="Times New Roman" w:eastAsia="仿宋_GB2312"/>
          <w:sz w:val="30"/>
          <w:szCs w:val="30"/>
        </w:rPr>
        <w:t>附近地区生产运输状况，为产业发展创造了较好的交通基础条件。</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经综合评价，本项目绩效评价得分</w:t>
      </w:r>
      <w:r>
        <w:rPr>
          <w:rFonts w:ascii="仿宋_GB2312" w:hAnsi="仿宋_GB2312" w:eastAsia="仿宋_GB2312" w:cs="仿宋_GB2312"/>
          <w:b/>
          <w:sz w:val="32"/>
          <w:szCs w:val="32"/>
        </w:rPr>
        <w:t>90</w:t>
      </w:r>
      <w:r>
        <w:rPr>
          <w:rFonts w:hint="eastAsia" w:ascii="仿宋_GB2312" w:hAnsi="仿宋_GB2312" w:eastAsia="仿宋_GB2312" w:cs="仿宋_GB2312"/>
          <w:b/>
          <w:sz w:val="32"/>
          <w:szCs w:val="32"/>
        </w:rPr>
        <w:t>.88分，综合评价结果等级为“优”。</w:t>
      </w:r>
    </w:p>
    <w:p>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表</w:t>
      </w:r>
      <w:r>
        <w:rPr>
          <w:rFonts w:hint="eastAsia" w:ascii="仿宋_GB2312" w:hAnsi="仿宋_GB2312" w:eastAsia="仿宋_GB2312" w:cs="仿宋_GB2312"/>
          <w:b/>
          <w:bCs/>
          <w:sz w:val="28"/>
          <w:szCs w:val="28"/>
        </w:rPr>
        <w:t>2</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 xml:space="preserve"> 石墩河镇政府移民点至拐滩段道路建设项目</w:t>
      </w:r>
      <w:r>
        <w:rPr>
          <w:rFonts w:ascii="仿宋_GB2312" w:hAnsi="仿宋_GB2312" w:eastAsia="仿宋_GB2312" w:cs="仿宋_GB2312"/>
          <w:b/>
          <w:bCs/>
          <w:sz w:val="28"/>
          <w:szCs w:val="28"/>
        </w:rPr>
        <w:t>指标评分表</w:t>
      </w:r>
    </w:p>
    <w:tbl>
      <w:tblPr>
        <w:tblStyle w:val="12"/>
        <w:tblW w:w="4998" w:type="pct"/>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blHeader/>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一级指标</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分值</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得分</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得分率</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决策</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0</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100.0</w:t>
            </w:r>
            <w:r>
              <w:rPr>
                <w:rFonts w:ascii="仿宋_GB2312" w:hAnsi="仿宋_GB2312" w:eastAsia="仿宋_GB2312" w:cs="仿宋_GB2312"/>
                <w:color w:val="000000"/>
                <w:sz w:val="24"/>
              </w:rPr>
              <w:t>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过程</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0</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17.65</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89</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23</w:t>
            </w:r>
            <w:r>
              <w:rPr>
                <w:rFonts w:ascii="仿宋_GB2312" w:hAnsi="仿宋_GB2312" w:eastAsia="仿宋_GB2312" w:cs="仿宋_GB2312"/>
                <w:color w:val="000000"/>
                <w:sz w:val="24"/>
              </w:rPr>
              <w:t>%</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产出</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32</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7.87</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33</w:t>
            </w:r>
            <w:r>
              <w:rPr>
                <w:rFonts w:ascii="仿宋_GB2312" w:hAnsi="仿宋_GB2312" w:eastAsia="仿宋_GB2312" w:cs="仿宋_GB2312"/>
                <w:color w:val="000000"/>
                <w:sz w:val="24"/>
              </w:rPr>
              <w:t>%</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效益</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25.36</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58</w:t>
            </w:r>
            <w:r>
              <w:rPr>
                <w:rFonts w:ascii="仿宋_GB2312" w:hAnsi="仿宋_GB2312" w:eastAsia="仿宋_GB2312" w:cs="仿宋_GB2312"/>
                <w:color w:val="000000"/>
                <w:sz w:val="24"/>
              </w:rPr>
              <w:t>%</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5000" w:type="pct"/>
            <w:gridSpan w:val="4"/>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绩效评价得分：</w:t>
            </w:r>
            <w:r>
              <w:rPr>
                <w:rFonts w:ascii="仿宋_GB2312" w:hAnsi="仿宋_GB2312" w:eastAsia="仿宋_GB2312" w:cs="仿宋_GB2312"/>
                <w:bCs/>
                <w:color w:val="000000"/>
                <w:sz w:val="24"/>
              </w:rPr>
              <w:t>90.</w:t>
            </w:r>
            <w:r>
              <w:rPr>
                <w:rFonts w:hint="eastAsia" w:ascii="仿宋_GB2312" w:hAnsi="仿宋_GB2312" w:eastAsia="仿宋_GB2312" w:cs="仿宋_GB2312"/>
                <w:bCs/>
                <w:color w:val="000000"/>
                <w:sz w:val="24"/>
              </w:rPr>
              <w:t>88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（一）项目决策情况</w:t>
      </w:r>
    </w:p>
    <w:p>
      <w:pPr>
        <w:tabs>
          <w:tab w:val="left" w:pos="334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项目决策从“项目立项”“绩效目标”和“资金投入”三个方面对项目进行评价，分值共计20分。石墩河镇政府移民点至拐摊段道路建设项目立项程序规范，采购实施计划合规，资金投入情况较为合理。</w:t>
      </w:r>
    </w:p>
    <w:p>
      <w:pPr>
        <w:tabs>
          <w:tab w:val="left" w:pos="334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经综合评价，项目决策评价得分20分，得分率100.00%</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（二）项目过程情况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项目过程从“资金管理”和“组织实施”两个方面对项目进行评价，分值共计20分。该项目政府采购程序和方式合法合规、财务管理制度健全、项目整体落实情况较好。但</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存在合同执行有效性不足，预算执行率不到位的问题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经综合评价，项目过程评价得分17.65分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得分率89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23%。</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（三）项目产出情况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从“产出数量”“产出质量”“产出时效”和“产出成本”四个方面对项目进行评价，分值共计32分。该项目政府采购完成情况及绩效目标任务完成情况较好，但仍存在产出数量与产出时效与批复内容存在差异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经综合评价，项目产出评价得分27.87分，得分率89.33%</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项目效益从“经济效益”“社会效益”“可持续影响”和“满意度”四个方面对项目进行评价，分值共计28分。石墩河镇政府移民点至拐摊段道路建设项目整体效益良好。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经综合评价，项目效益评价得分25.36分，得分率90.58%。</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四、主要经验及做法</w:t>
      </w:r>
    </w:p>
    <w:p>
      <w:pPr>
        <w:spacing w:line="560" w:lineRule="exact"/>
        <w:ind w:left="319" w:leftChars="152" w:firstLine="321" w:firstLineChars="100"/>
        <w:rPr>
          <w:rFonts w:ascii="楷体" w:hAnsi="楷体" w:eastAsia="楷体" w:cs="仿宋_GB2312"/>
          <w:b/>
          <w:bCs/>
          <w:sz w:val="32"/>
          <w:szCs w:val="32"/>
        </w:rPr>
      </w:pPr>
      <w:r>
        <w:rPr>
          <w:rFonts w:hint="eastAsia" w:ascii="楷体" w:hAnsi="楷体" w:eastAsia="楷体" w:cs="仿宋_GB2312"/>
          <w:b/>
          <w:bCs/>
          <w:sz w:val="32"/>
          <w:szCs w:val="32"/>
        </w:rPr>
        <w:t>（一）制定绩效运行监控表，加强预算执行管理</w:t>
      </w:r>
    </w:p>
    <w:p>
      <w:pPr>
        <w:spacing w:line="560" w:lineRule="exact"/>
        <w:ind w:firstLine="640" w:firstLineChars="200"/>
        <w:rPr>
          <w:rFonts w:ascii="仿宋_GB2312" w:hAnsi="楷体" w:eastAsia="仿宋_GB2312" w:cs="仿宋_GB2312"/>
          <w:sz w:val="32"/>
          <w:szCs w:val="32"/>
        </w:rPr>
      </w:pPr>
      <w:r>
        <w:rPr>
          <w:rFonts w:hint="eastAsia" w:ascii="仿宋_GB2312" w:hAnsi="仿宋_GB2312" w:eastAsia="仿宋_GB2312" w:cs="仿宋_GB2312"/>
          <w:sz w:val="32"/>
          <w:szCs w:val="32"/>
        </w:rPr>
        <w:t>通过制定绩效运行监控表，加强预算执行管理，落实预算执行的责任，提高财政资金的使用效益和预算约束力，对项目实施中的问题及时纠偏，保证项目按期完成和绩效目标的实现。同时可以及时发现项目管理和实施中的问题，提高绩效结果的应用，为完善支持政策和改进管理提供依据。</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（二）成立建设工作领导小组，落实责任，加强管理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通过成立石墩河镇项目建设工作领导小组，切实加强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项目建设工作的组织领导和统筹协调，落实了各项工作职责，提升了项目建设管理水平。为项目建设工作的有序开展和稳步推进提供保障。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（一）前期可研设计不到位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项目立项、项目招标、项目施工过程中。项目道路设计长度269米，路基宽6.0米，路面宽5.5米；立项与招标内容为：修建道路300米，路基宽6米，路面宽5.5米；实际建设内容修建道路248米，路基宽7.5m，路面宽6.5米；设计内容、招标内容、施工内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差距较大，前期可研设计不到位。</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（二）未按图纸施工，未提供工程签证单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项目施工过程中未严格按照原设计图纸进行施工，更改了路基宽度，以及路面宽度，路肩变更为水泥路面，但在施工过程中，未提供相应的现场工程签证单，在项目过程管理中存在披露。</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（一）</w:t>
      </w:r>
      <w:r>
        <w:rPr>
          <w:rFonts w:hint="eastAsia" w:ascii="楷体" w:hAnsi="楷体" w:eastAsia="楷体" w:cs="楷体"/>
          <w:b/>
          <w:bCs/>
          <w:sz w:val="32"/>
          <w:szCs w:val="32"/>
        </w:rPr>
        <w:t>加强前期可研与设计工作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建议加大前期投资，聘请专业勘探与设计公司，对工程进行前期勘探与设计工作，尽量满足实际工程需要，避免</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实际施工、项目设计、项目审批、项目招标之间差距过大，从而使工程预算更加具有可靠性。</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（二）加强项目实施的过程管理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建议在项目实施过程中，严格按照《工程签证管理办法》，对项目</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过程中的变更内容，实施三方现场签证，进行一事一签，规范工程管理流程，加强项目实施的过程管理。避免施工方私自更改项目图纸的情况发生，避免后续产生经济纠纷。</w:t>
      </w:r>
    </w:p>
    <w:p>
      <w:pPr>
        <w:spacing w:line="640" w:lineRule="exact"/>
        <w:ind w:left="1349" w:hanging="720"/>
        <w:jc w:val="center"/>
        <w:rPr>
          <w:rFonts w:hint="eastAsia" w:ascii="方正小标宋简体" w:hAnsi="仿宋" w:eastAsia="方正小标宋简体"/>
          <w:color w:val="000000"/>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青松抢救工程项目绩效评价报告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生态文明思想和习近平总书记来陕考察重要讲话重要指示精神，切实践行“绿水青山，就是金山银山”的理念，全面落实党中央和省、市关于全面推行林长制的决策部署，坚决扛起森林资源和生态空间</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发展责任，巩固拓展全县林业生态建设成果，推动生态环境质量持续好转。佛坪县发布了《关于做好2022年全县林（山）长制重点工作的令》，其中指出要狠抓林业有害生物防治，特别是松材线虫病疫情防控工作。</w:t>
      </w:r>
    </w:p>
    <w:p>
      <w:pPr>
        <w:spacing w:line="560" w:lineRule="exact"/>
        <w:ind w:firstLine="640" w:firstLineChars="200"/>
        <w:rPr>
          <w:rFonts w:ascii="楷体" w:hAnsi="楷体" w:eastAsia="楷体" w:cs="仿宋_GB2312"/>
          <w:b/>
          <w:bCs/>
          <w:sz w:val="32"/>
          <w:szCs w:val="32"/>
        </w:rPr>
      </w:pPr>
      <w:r>
        <w:rPr>
          <w:rFonts w:hint="eastAsia" w:ascii="仿宋_GB2312" w:hAnsi="仿宋_GB2312" w:eastAsia="仿宋_GB2312" w:cs="仿宋_GB2312"/>
          <w:sz w:val="32"/>
          <w:szCs w:val="32"/>
        </w:rPr>
        <w:t>佛坪县为了有效提升松材线虫病防控质量，坚决遏制疫情扩散，保护全县森林资源和生态安全，决定开展佛坪县“青松抢救工程”。并根据《汉中市松材线虫病疫情防控攻坚行动方案（2021-2025）》要求，结合本县实际情况，制定了《佛坪县松材线虫病疫情防控五年攻坚行动方</w:t>
      </w:r>
      <w:r>
        <w:rPr>
          <w:rFonts w:hint="eastAsia" w:ascii="仿宋_GB2312" w:hAnsi="仿宋_GB2312" w:eastAsia="仿宋_GB2312" w:cs="仿宋_GB2312"/>
          <w:sz w:val="32"/>
          <w:szCs w:val="32"/>
          <w:highlight w:val="none"/>
        </w:rPr>
        <w:t>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2021-2025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佛松防指办发</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2021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5号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（二）资金情况</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2022年度，松材线虫病防控经费投入为310万元，其中：</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1、佛财办农</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2021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29号文下达中央林业改革发展资金100万元，已全部支出。</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2、佛财办建</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2021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13号文下达省级秦岭生态环保资金（青松抢救补助资金）160万元，已全部支出。</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3、佛财办农</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2021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8号文下达省级青松抢救补工程（省级林业改革发展资金）50万元，已全部支出。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组认为2022年“青松抢救工程”各项工作基本按设定年度目标完成，通过项目的开展，减少了佛坪县疫情数量，遏制了松材线虫病疫情发展，加强了佛坪县林业有害生物防控工作与重大林业有害生物防控体系建设，巩固了佛坪县林业建设成果，促进了疫情防治5年规划的完成。</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经综合评价，本次青松抢救项目绩效评价得分</w:t>
      </w:r>
      <w:r>
        <w:rPr>
          <w:rFonts w:ascii="仿宋_GB2312" w:hAnsi="仿宋_GB2312" w:eastAsia="仿宋_GB2312" w:cs="仿宋_GB2312"/>
          <w:b/>
          <w:sz w:val="32"/>
          <w:szCs w:val="32"/>
        </w:rPr>
        <w:t>90</w:t>
      </w:r>
      <w:r>
        <w:rPr>
          <w:rFonts w:hint="eastAsia" w:ascii="仿宋_GB2312" w:hAnsi="仿宋_GB2312" w:eastAsia="仿宋_GB2312" w:cs="仿宋_GB2312"/>
          <w:b/>
          <w:sz w:val="32"/>
          <w:szCs w:val="32"/>
        </w:rPr>
        <w:t>.43分，综合评价结果等级为“优”。</w:t>
      </w:r>
    </w:p>
    <w:p>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表</w:t>
      </w:r>
      <w:r>
        <w:rPr>
          <w:rFonts w:hint="eastAsia" w:ascii="仿宋_GB2312" w:hAnsi="仿宋_GB2312" w:eastAsia="仿宋_GB2312" w:cs="仿宋_GB2312"/>
          <w:b/>
          <w:bCs/>
          <w:sz w:val="28"/>
          <w:szCs w:val="28"/>
        </w:rPr>
        <w:t>2</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 xml:space="preserve"> 青松抢救工程项目</w:t>
      </w:r>
      <w:r>
        <w:rPr>
          <w:rFonts w:ascii="仿宋_GB2312" w:hAnsi="仿宋_GB2312" w:eastAsia="仿宋_GB2312" w:cs="仿宋_GB2312"/>
          <w:b/>
          <w:bCs/>
          <w:sz w:val="28"/>
          <w:szCs w:val="28"/>
        </w:rPr>
        <w:t>指标评分表</w:t>
      </w:r>
    </w:p>
    <w:tbl>
      <w:tblPr>
        <w:tblStyle w:val="12"/>
        <w:tblW w:w="4998" w:type="pct"/>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blHeader/>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一级指标</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分值</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得分</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得分率</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决策</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0</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5</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50%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过程</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0</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9</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5.00%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产出</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0</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24</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80.00%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eastAsia="仿宋_GB2312"/>
                <w:color w:val="000000"/>
                <w:sz w:val="24"/>
              </w:rPr>
              <w:t>效益</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0</w:t>
            </w:r>
          </w:p>
        </w:tc>
        <w:tc>
          <w:tcPr>
            <w:tcW w:w="1249"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9</w:t>
            </w:r>
          </w:p>
        </w:tc>
        <w:tc>
          <w:tcPr>
            <w:tcW w:w="1253" w:type="pct"/>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6.67%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5000" w:type="pct"/>
            <w:gridSpan w:val="4"/>
            <w:tcBorders>
              <w:tl2br w:val="nil"/>
              <w:tr2bl w:val="nil"/>
            </w:tcBorders>
            <w:shd w:val="clear" w:color="auto" w:fill="FFFFFF"/>
            <w:tcMar>
              <w:top w:w="10" w:type="dxa"/>
              <w:left w:w="10" w:type="dxa"/>
              <w:bottom w:w="0" w:type="dxa"/>
              <w:right w:w="10"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绩效评价得分：</w:t>
            </w:r>
            <w:r>
              <w:rPr>
                <w:rFonts w:ascii="仿宋_GB2312" w:hAnsi="仿宋_GB2312" w:eastAsia="仿宋_GB2312" w:cs="仿宋_GB2312"/>
                <w:bCs/>
                <w:color w:val="000000"/>
                <w:sz w:val="24"/>
              </w:rPr>
              <w:t>90.5</w:t>
            </w:r>
            <w:r>
              <w:rPr>
                <w:rFonts w:hint="eastAsia" w:ascii="仿宋_GB2312" w:hAnsi="仿宋_GB2312" w:eastAsia="仿宋_GB2312" w:cs="仿宋_GB2312"/>
                <w:bCs/>
                <w:color w:val="000000"/>
                <w:sz w:val="24"/>
              </w:rPr>
              <w:t xml:space="preserve">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（一）项目决策情况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该项目决策是从“项目立项”“绩效目标”和“资金投入”三个方面对项目进行评价，分值共计20分。“青松抢救工程”项目立项程序规范，采购实施计划合规，资金投入情况较为合理，但存在绩效目标不够明确、合理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经综合评价，项目决策评价得分15分，得分率83.33%。</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（二）项目过程情况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从“资金管理”“组织实施”两个方面对项目进行评价，分值共计22分。该项目政府采购程序和方式合法合规、财务管理制度健全、项目整体落实情况较好。但存在项目单位制度有效性执行情况不足的问题。经综合评价，项目过程评价得分20.5分，得分率92.86%。</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经综合评价，项目过程评价得分1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分，得分率9</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（三）项目产出情况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从“产出数量”“产出质量”“产出时效”和“产出成本”四个方面对项目进行评价，分值共计30分。该项目政府采购完成情况及绩效目标任务完成情况较好。但项目除治小班质量达标率与成本节约率方面仍需改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经综合评价，项目产出评价得分25.43分，得分率86.43%。</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效益从“社会效益”“生态效益”“可持续影响”三个方面对项目进行评价，分值共计30分。青松抢救工程项目整体效益良好，通过项目的实施，可以遏制疫情发展、加强重大林业有害生物防控体系，保障林业建设成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经综合评价，项目效益评价得分29分，得分率96.67%。</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四、主要经验及做法</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仿宋_GB2312"/>
          <w:b/>
          <w:bCs/>
          <w:sz w:val="32"/>
          <w:szCs w:val="32"/>
        </w:rPr>
        <w:t>（一）</w:t>
      </w:r>
      <w:r>
        <w:rPr>
          <w:rFonts w:hint="eastAsia" w:ascii="楷体" w:hAnsi="楷体" w:eastAsia="楷体" w:cs="楷体"/>
          <w:b/>
          <w:bCs/>
          <w:sz w:val="32"/>
          <w:szCs w:val="32"/>
        </w:rPr>
        <w:t>加大宣传力度，营造社会氛围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通过检疫执法检查、悬挂横幅、制作宣传牌、发放宣传资料</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编发短信等多种方式开展宣传教育，提高广大群众对松材线虫病等重大林业有害生物的危害性、防控重要性和基本防治方法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知晓率。通过多形式、多层次、高频次的宣传，使各项防控知识、政策规定深入人心，营造齐抓共管的良好社会氛围。</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（二）加强技术力量，保证防治质量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预防为主，科学治理，依法监管、强化责任”的方针，结合实际建立横向到边纵向到底的防控监测网络，将山头地块监测落实到具体人头，做到全县松林区监测不留盲点、死角，监测全覆盖。对各枯死疫木清理小班安排技术人员，负责技术指导和质量监督，对林业防控施工人员、各级林长和生态护林员，积极展开业务培训，掌握科学的防治方法，提高防控质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（一）工程监管不到位，在“即死即清”期间无法有效监督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“即死即清”阶段中，工程队应该</w:t>
      </w: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发现一株疫木，便清理一株疫木，并每月上报“即死即清”台账，实施过程中未及时上报。同时由于处于非集中处置阶段，施工队会减少现场施工人员，虽然有跟班监理人员，但仅仅负责施工质量，不负责督促施工。而林业局无法组织有效力量对施工情况进行监督，主要检查工作由森防股单位3位成员负责，监管力量薄弱，无法形成有效监督，“即死即清”工作实施效果无法得到保证。</w:t>
      </w:r>
    </w:p>
    <w:p>
      <w:pPr>
        <w:spacing w:line="560" w:lineRule="exact"/>
        <w:ind w:firstLine="643" w:firstLineChars="200"/>
        <w:rPr>
          <w:rFonts w:ascii="楷体" w:hAnsi="楷体" w:eastAsia="楷体" w:cs="楷体"/>
          <w:b/>
          <w:bCs/>
          <w:sz w:val="32"/>
          <w:szCs w:val="32"/>
        </w:rPr>
      </w:pPr>
      <w:r>
        <w:rPr>
          <w:rFonts w:hint="eastAsia" w:ascii="楷体" w:hAnsi="楷体" w:eastAsia="楷体" w:cs="仿宋_GB2312"/>
          <w:b/>
          <w:bCs/>
          <w:sz w:val="32"/>
          <w:szCs w:val="32"/>
        </w:rPr>
        <w:t>（二）</w:t>
      </w:r>
      <w:r>
        <w:rPr>
          <w:rFonts w:hint="eastAsia" w:ascii="楷体" w:hAnsi="楷体" w:eastAsia="楷体" w:cs="楷体"/>
          <w:b/>
          <w:bCs/>
          <w:sz w:val="32"/>
          <w:szCs w:val="32"/>
        </w:rPr>
        <w:t>监测能力不足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虽然佛坪县设置县镇村三级监测体系，但实际实施过程中，一线镇办级林业干部都是兼职人员以镇办中心工作为主。村级生态护林员均为脱贫户，文化程度大多低下，护林员一般是村组干部兼任，主要忙于村上日常工作，林业专业知识掌握较少。导致县镇村三级监测体系实际运行效果不佳，整体监测能力不足，难以及时发现疫木，导致疫情难以彻底清除。</w:t>
      </w:r>
    </w:p>
    <w:p>
      <w:pPr>
        <w:spacing w:line="560" w:lineRule="exact"/>
        <w:ind w:firstLine="643" w:firstLineChars="200"/>
        <w:rPr>
          <w:rFonts w:ascii="楷体" w:hAnsi="楷体" w:eastAsia="楷体" w:cs="楷体"/>
          <w:b/>
          <w:bCs/>
          <w:sz w:val="32"/>
          <w:szCs w:val="32"/>
        </w:rPr>
      </w:pPr>
      <w:r>
        <w:rPr>
          <w:rFonts w:hint="eastAsia" w:ascii="楷体" w:hAnsi="楷体" w:eastAsia="楷体" w:cs="仿宋_GB2312"/>
          <w:b/>
          <w:bCs/>
          <w:sz w:val="32"/>
          <w:szCs w:val="32"/>
        </w:rPr>
        <w:t>（三）</w:t>
      </w:r>
      <w:r>
        <w:rPr>
          <w:rFonts w:hint="eastAsia" w:ascii="楷体" w:hAnsi="楷体" w:eastAsia="楷体" w:cs="楷体"/>
          <w:b/>
          <w:bCs/>
          <w:sz w:val="32"/>
          <w:szCs w:val="32"/>
        </w:rPr>
        <w:t>专业技术人才缺乏</w:t>
      </w:r>
    </w:p>
    <w:p>
      <w:pPr>
        <w:spacing w:line="560" w:lineRule="exact"/>
        <w:ind w:firstLine="640" w:firstLineChars="200"/>
        <w:rPr>
          <w:rFonts w:ascii="楷体" w:hAnsi="楷体" w:eastAsia="楷体" w:cs="楷体"/>
          <w:b/>
          <w:bCs/>
          <w:sz w:val="32"/>
          <w:szCs w:val="32"/>
        </w:rPr>
      </w:pPr>
      <w:r>
        <w:rPr>
          <w:rFonts w:hint="eastAsia" w:ascii="仿宋_GB2312" w:hAnsi="仿宋_GB2312" w:eastAsia="仿宋_GB2312" w:cs="仿宋_GB2312"/>
          <w:sz w:val="32"/>
          <w:szCs w:val="32"/>
        </w:rPr>
        <w:t>现有林检机构人员老龄化，专业人才和新技术更新显得“青黄不接”。先进适用技术的研究与推广跟不上，新技术和新科研成果转化力度不够，而一线工作人员多为兼职，林业知识掌握较少，专业技术人才缺乏，难以对施工情况形成有效监督，对疫情发展做出正确判断，难以保证项目施工质量与疫情防治效果。</w:t>
      </w:r>
    </w:p>
    <w:p>
      <w:pPr>
        <w:spacing w:line="560" w:lineRule="exact"/>
        <w:ind w:firstLine="643" w:firstLineChars="200"/>
        <w:rPr>
          <w:rFonts w:ascii="楷体" w:hAnsi="楷体" w:eastAsia="楷体" w:cs="楷体"/>
          <w:b/>
          <w:bCs/>
          <w:sz w:val="32"/>
          <w:szCs w:val="32"/>
        </w:rPr>
      </w:pPr>
      <w:r>
        <w:rPr>
          <w:rFonts w:hint="eastAsia" w:ascii="楷体" w:hAnsi="楷体" w:eastAsia="楷体" w:cs="仿宋_GB2312"/>
          <w:b/>
          <w:bCs/>
          <w:sz w:val="32"/>
          <w:szCs w:val="32"/>
        </w:rPr>
        <w:t>（四）</w:t>
      </w:r>
      <w:r>
        <w:rPr>
          <w:rFonts w:hint="eastAsia" w:ascii="楷体" w:hAnsi="楷体" w:eastAsia="楷体" w:cs="楷体"/>
          <w:b/>
          <w:bCs/>
          <w:sz w:val="32"/>
          <w:szCs w:val="32"/>
        </w:rPr>
        <w:t>合同签订缺乏有效性</w:t>
      </w:r>
    </w:p>
    <w:p>
      <w:pPr>
        <w:spacing w:line="560" w:lineRule="exact"/>
        <w:ind w:firstLine="640" w:firstLineChars="200"/>
        <w:rPr>
          <w:rFonts w:ascii="楷体" w:hAnsi="楷体" w:eastAsia="楷体" w:cs="仿宋_GB2312"/>
          <w:b/>
          <w:bCs/>
          <w:sz w:val="32"/>
          <w:szCs w:val="32"/>
        </w:rPr>
      </w:pPr>
      <w:r>
        <w:rPr>
          <w:rFonts w:hint="eastAsia" w:ascii="仿宋_GB2312" w:hAnsi="仿宋_GB2312" w:eastAsia="仿宋_GB2312" w:cs="仿宋_GB2312"/>
          <w:sz w:val="32"/>
          <w:szCs w:val="32"/>
        </w:rPr>
        <w:t>尽管合同中对不同标段秋季普查病死木数量有任务指标如：在防治任务第五标段合同中规定，在2022年秋末，需要在2021年秋季普查病死松树株数的基础上下降30%，即2022年秋末普查全镇因病虫危害致死</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枯死松树数量小于196株。但在合同中未明确对这一指标进行奖惩规定或强制要求。导致这一任务指标无法及时完成，进而难以保证五年方案的防治总目标的实现。合同签订缺乏有效性。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（一）</w:t>
      </w:r>
      <w:r>
        <w:rPr>
          <w:rFonts w:hint="eastAsia" w:ascii="楷体" w:hAnsi="楷体" w:eastAsia="楷体" w:cs="楷体"/>
          <w:b/>
          <w:bCs/>
          <w:sz w:val="32"/>
          <w:szCs w:val="32"/>
        </w:rPr>
        <w:t>增加人员配置，加大监督力度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建议增加日常监管人员，对施工情况实行长期监督检查，增大抽查频率，避免只在“集中处置”阶段进行检查，“即死即清”检查力度不足的情况发生，从而对项目进行全阶段的</w:t>
      </w:r>
      <w:r>
        <w:rPr>
          <w:rFonts w:hint="eastAsia" w:ascii="仿宋_GB2312" w:hAnsi="仿宋_GB2312" w:eastAsia="仿宋_GB2312" w:cs="仿宋_GB2312"/>
          <w:sz w:val="32"/>
          <w:szCs w:val="32"/>
          <w:lang w:val="en-US" w:eastAsia="zh-CN"/>
        </w:rPr>
        <w:t>监查</w:t>
      </w:r>
      <w:r>
        <w:rPr>
          <w:rFonts w:hint="eastAsia" w:ascii="仿宋_GB2312" w:hAnsi="仿宋_GB2312" w:eastAsia="仿宋_GB2312" w:cs="仿宋_GB2312"/>
          <w:sz w:val="32"/>
          <w:szCs w:val="32"/>
        </w:rPr>
        <w:t>，保障项目短期任务目标的</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与长期总目标的实现。</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w:t>
      </w:r>
      <w:r>
        <w:rPr>
          <w:rFonts w:hint="eastAsia" w:ascii="楷体" w:hAnsi="楷体" w:eastAsia="楷体" w:cs="楷体"/>
          <w:b/>
          <w:bCs/>
          <w:sz w:val="32"/>
          <w:szCs w:val="32"/>
        </w:rPr>
        <w:t>二</w:t>
      </w:r>
      <w:r>
        <w:rPr>
          <w:rFonts w:ascii="楷体" w:hAnsi="楷体" w:eastAsia="楷体" w:cs="楷体"/>
          <w:b/>
          <w:bCs/>
          <w:sz w:val="32"/>
          <w:szCs w:val="32"/>
        </w:rPr>
        <w:t>）</w:t>
      </w:r>
      <w:r>
        <w:rPr>
          <w:rFonts w:hint="eastAsia" w:ascii="楷体" w:hAnsi="楷体" w:eastAsia="楷体" w:cs="楷体"/>
          <w:b/>
          <w:bCs/>
          <w:sz w:val="32"/>
          <w:szCs w:val="32"/>
        </w:rPr>
        <w:t>落实县镇村三级监测体系，加强监测体系建设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对村镇级的林业干部实施专业化建设，将监测任务切实落实到一线林业干部身上，实现专人专责，避免身兼数职，无暇兼顾的情况发生，提高县镇村三级监测体系的有效性。从而为及时发现病木，遏制疫情扩散，</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出有力保障。</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w:t>
      </w:r>
      <w:r>
        <w:rPr>
          <w:rFonts w:hint="eastAsia" w:ascii="楷体" w:hAnsi="楷体" w:eastAsia="楷体" w:cs="楷体"/>
          <w:b/>
          <w:bCs/>
          <w:sz w:val="32"/>
          <w:szCs w:val="32"/>
        </w:rPr>
        <w:t>三</w:t>
      </w:r>
      <w:r>
        <w:rPr>
          <w:rFonts w:ascii="楷体" w:hAnsi="楷体" w:eastAsia="楷体" w:cs="楷体"/>
          <w:b/>
          <w:bCs/>
          <w:sz w:val="32"/>
          <w:szCs w:val="32"/>
        </w:rPr>
        <w:t>）</w:t>
      </w:r>
      <w:r>
        <w:rPr>
          <w:rFonts w:hint="eastAsia" w:ascii="楷体" w:hAnsi="楷体" w:eastAsia="楷体" w:cs="楷体"/>
          <w:b/>
          <w:bCs/>
          <w:sz w:val="32"/>
          <w:szCs w:val="32"/>
        </w:rPr>
        <w:t>提高培训力度，提升林业人员专业化程度</w:t>
      </w:r>
    </w:p>
    <w:p>
      <w:pPr>
        <w:spacing w:line="560" w:lineRule="exact"/>
        <w:ind w:firstLine="640" w:firstLineChars="200"/>
        <w:rPr>
          <w:rFonts w:ascii="楷体" w:hAnsi="楷体" w:eastAsia="楷体" w:cs="楷体"/>
          <w:b/>
          <w:bCs/>
          <w:sz w:val="32"/>
          <w:szCs w:val="32"/>
        </w:rPr>
      </w:pPr>
      <w:r>
        <w:rPr>
          <w:rFonts w:hint="eastAsia" w:ascii="仿宋_GB2312" w:hAnsi="仿宋_GB2312" w:eastAsia="仿宋_GB2312" w:cs="仿宋_GB2312"/>
          <w:sz w:val="32"/>
          <w:szCs w:val="32"/>
        </w:rPr>
        <w:t>建议对林业工作人员增加培训力度，培训次数，提高林业工作人员的专业化水平，特别是一线人员的专业化水平，为疫情防治的质量监督与预防监测打好基础。</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w:t>
      </w:r>
      <w:r>
        <w:rPr>
          <w:rFonts w:hint="eastAsia" w:ascii="楷体" w:hAnsi="楷体" w:eastAsia="楷体" w:cs="楷体"/>
          <w:b/>
          <w:bCs/>
          <w:sz w:val="32"/>
          <w:szCs w:val="32"/>
        </w:rPr>
        <w:t>四</w:t>
      </w:r>
      <w:r>
        <w:rPr>
          <w:rFonts w:ascii="楷体" w:hAnsi="楷体" w:eastAsia="楷体" w:cs="楷体"/>
          <w:b/>
          <w:bCs/>
          <w:sz w:val="32"/>
          <w:szCs w:val="32"/>
        </w:rPr>
        <w:t>）</w:t>
      </w:r>
      <w:r>
        <w:rPr>
          <w:rFonts w:hint="eastAsia" w:ascii="楷体" w:hAnsi="楷体" w:eastAsia="楷体" w:cs="楷体"/>
          <w:b/>
          <w:bCs/>
          <w:sz w:val="32"/>
          <w:szCs w:val="32"/>
        </w:rPr>
        <w:t>增加对合同长期目标的相关条款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建议在合同中根据《佛坪县松材线虫病疫情防控五年攻坚行动方案（2021-2025）》的防治目标，结合佛坪县疫情实际情况，增加对于</w:t>
      </w:r>
      <w:r>
        <w:rPr>
          <w:rFonts w:hint="eastAsia" w:ascii="仿宋_GB2312" w:hAnsi="仿宋_GB2312" w:eastAsia="仿宋_GB2312" w:cs="仿宋_GB2312"/>
          <w:sz w:val="32"/>
          <w:szCs w:val="32"/>
          <w:lang w:val="en-US" w:eastAsia="zh-CN"/>
        </w:rPr>
        <w:t>防治</w:t>
      </w:r>
      <w:r>
        <w:rPr>
          <w:rFonts w:hint="eastAsia" w:ascii="仿宋_GB2312" w:hAnsi="仿宋_GB2312" w:eastAsia="仿宋_GB2312" w:cs="仿宋_GB2312"/>
          <w:sz w:val="32"/>
          <w:szCs w:val="32"/>
        </w:rPr>
        <w:t>长期目标的相关条款，并制定相应的奖惩制度，促进长期目标的实现，为达成五年规划的防治目标提供有力保障。</w:t>
      </w:r>
    </w:p>
    <w:p>
      <w:pPr>
        <w:jc w:val="left"/>
        <w:rPr>
          <w:rFonts w:ascii="黑体" w:hAnsi="黑体" w:eastAsia="黑体" w:cs="黑体"/>
          <w:sz w:val="32"/>
          <w:szCs w:val="32"/>
          <w:highlight w:val="yellow"/>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沙窝村移民安置点道路桥梁拓宽工程项目绩效评价报告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位于长角坝镇沙窝村移民点的进出路线上，由于原有石拱桥经检测为四类危桥，禁止车辆通行，必须停止使用，此桥为通往移民点道路的必经桥梁，此桥中断将造成移民点小区的居民车辆通行中断。为巩固脱贫“两通”指标和到沙窝红军旧址参观学习不受影响，长角坝镇政府决定修建该条桥梁，拟在紧贴旧桥下侧新建一座平板桥。</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（二）资金情况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移民点道桥拓宽工程项目共投入财政资金1</w:t>
      </w:r>
      <w:r>
        <w:rPr>
          <w:rFonts w:ascii="仿宋_GB2312" w:hAnsi="仿宋_GB2312" w:eastAsia="仿宋_GB2312" w:cs="仿宋_GB2312"/>
          <w:sz w:val="32"/>
          <w:szCs w:val="32"/>
        </w:rPr>
        <w:t>96.00</w:t>
      </w:r>
      <w:r>
        <w:rPr>
          <w:rFonts w:hint="eastAsia" w:ascii="仿宋_GB2312" w:hAnsi="仿宋_GB2312" w:eastAsia="仿宋_GB2312" w:cs="仿宋_GB2312"/>
          <w:sz w:val="32"/>
          <w:szCs w:val="32"/>
        </w:rPr>
        <w:t>万元，具体使用情况如下表：</w:t>
      </w:r>
    </w:p>
    <w:p>
      <w:pPr>
        <w:widowControl/>
        <w:spacing w:line="560" w:lineRule="exact"/>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财政资金支出明细表</w:t>
      </w:r>
    </w:p>
    <w:tbl>
      <w:tblPr>
        <w:tblStyle w:val="1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732"/>
        <w:gridCol w:w="2184"/>
        <w:gridCol w:w="2845"/>
        <w:gridCol w:w="230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0" w:hRule="atLeast"/>
        </w:trPr>
        <w:tc>
          <w:tcPr>
            <w:tcW w:w="956" w:type="pct"/>
            <w:noWrap/>
            <w:vAlign w:val="bottom"/>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序号</w:t>
            </w:r>
          </w:p>
        </w:tc>
        <w:tc>
          <w:tcPr>
            <w:tcW w:w="1205" w:type="pct"/>
            <w:noWrap/>
            <w:vAlign w:val="bottom"/>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支付时间</w:t>
            </w:r>
          </w:p>
        </w:tc>
        <w:tc>
          <w:tcPr>
            <w:tcW w:w="1570" w:type="pct"/>
            <w:noWrap/>
            <w:vAlign w:val="bottom"/>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 xml:space="preserve"> 支付金额（元） </w:t>
            </w:r>
          </w:p>
        </w:tc>
        <w:tc>
          <w:tcPr>
            <w:tcW w:w="1269" w:type="pct"/>
            <w:noWrap/>
            <w:vAlign w:val="bottom"/>
          </w:tcPr>
          <w:p>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 xml:space="preserve"> 资金用途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0" w:hRule="atLeast"/>
        </w:trPr>
        <w:tc>
          <w:tcPr>
            <w:tcW w:w="956"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205"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2022/4/1</w:t>
            </w:r>
          </w:p>
        </w:tc>
        <w:tc>
          <w:tcPr>
            <w:tcW w:w="1570"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578,190.00</w:t>
            </w:r>
          </w:p>
        </w:tc>
        <w:tc>
          <w:tcPr>
            <w:tcW w:w="1269"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主体工程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0" w:hRule="atLeast"/>
        </w:trPr>
        <w:tc>
          <w:tcPr>
            <w:tcW w:w="956"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205"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2022/5/12</w:t>
            </w:r>
          </w:p>
        </w:tc>
        <w:tc>
          <w:tcPr>
            <w:tcW w:w="1570"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66,651.00</w:t>
            </w:r>
          </w:p>
        </w:tc>
        <w:tc>
          <w:tcPr>
            <w:tcW w:w="1269"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设计费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0" w:hRule="atLeast"/>
        </w:trPr>
        <w:tc>
          <w:tcPr>
            <w:tcW w:w="956"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205"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2022/5/12</w:t>
            </w:r>
          </w:p>
        </w:tc>
        <w:tc>
          <w:tcPr>
            <w:tcW w:w="1570"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963,650.57</w:t>
            </w:r>
          </w:p>
        </w:tc>
        <w:tc>
          <w:tcPr>
            <w:tcW w:w="1269"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主体工程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0" w:hRule="atLeast"/>
        </w:trPr>
        <w:tc>
          <w:tcPr>
            <w:tcW w:w="956"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1205"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2022/6/30</w:t>
            </w:r>
          </w:p>
        </w:tc>
        <w:tc>
          <w:tcPr>
            <w:tcW w:w="1570"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62,509.42</w:t>
            </w:r>
          </w:p>
        </w:tc>
        <w:tc>
          <w:tcPr>
            <w:tcW w:w="1269"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监理服务费</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0" w:hRule="atLeast"/>
        </w:trPr>
        <w:tc>
          <w:tcPr>
            <w:tcW w:w="956"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1205"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2022/12/21</w:t>
            </w:r>
          </w:p>
        </w:tc>
        <w:tc>
          <w:tcPr>
            <w:tcW w:w="1570"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288,999.01</w:t>
            </w:r>
          </w:p>
        </w:tc>
        <w:tc>
          <w:tcPr>
            <w:tcW w:w="1269" w:type="pct"/>
            <w:noWrap/>
            <w:vAlign w:val="bottom"/>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主体工程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0" w:hRule="atLeast"/>
        </w:trPr>
        <w:tc>
          <w:tcPr>
            <w:tcW w:w="2161" w:type="pct"/>
            <w:gridSpan w:val="2"/>
            <w:noWrap/>
            <w:vAlign w:val="bottom"/>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合计</w:t>
            </w:r>
          </w:p>
        </w:tc>
        <w:tc>
          <w:tcPr>
            <w:tcW w:w="1570" w:type="pct"/>
            <w:noWrap/>
            <w:vAlign w:val="bottom"/>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1,960,000.00</w:t>
            </w:r>
          </w:p>
        </w:tc>
        <w:tc>
          <w:tcPr>
            <w:tcW w:w="1269" w:type="pct"/>
            <w:noWrap/>
            <w:vAlign w:val="bottom"/>
          </w:tcPr>
          <w:p>
            <w:pPr>
              <w:widowControl/>
              <w:jc w:val="center"/>
              <w:rPr>
                <w:rFonts w:ascii="仿宋_GB2312" w:hAnsi="等线" w:eastAsia="仿宋_GB2312" w:cs="宋体"/>
                <w:color w:val="000000"/>
                <w:kern w:val="0"/>
                <w:sz w:val="24"/>
              </w:rPr>
            </w:pP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沙窝村移民安置点道路桥梁拓宽工程项目各项工作基本按照设定的年度目标完成，项目整体支出绩效良好，绩效目标、采购需求合理明确，符合《中华人民共和国政府采购法》及相关法律法规的规定。通过项目的实施提高了道路桥梁通行能力，改善</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交通出行环境。但还存在绩效自评工作未开展，未制定专项资金管理制度，后续管护制度不健全的问题。</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经综合评价，本次沙窝村移民安置点道路桥梁拓宽工程项目绩效评价得分93分，综合评价结果等级为“优”。</w:t>
      </w:r>
    </w:p>
    <w:p>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表3-1</w:t>
      </w:r>
      <w:r>
        <w:rPr>
          <w:rFonts w:hint="eastAsia" w:ascii="仿宋_GB2312" w:hAnsi="仿宋_GB2312" w:eastAsia="仿宋_GB2312" w:cs="仿宋_GB2312"/>
          <w:b/>
          <w:bCs/>
          <w:sz w:val="28"/>
          <w:szCs w:val="28"/>
        </w:rPr>
        <w:t>沙窝村移民安置点道路桥梁拓宽工程项目</w:t>
      </w:r>
      <w:r>
        <w:rPr>
          <w:rFonts w:ascii="仿宋_GB2312" w:hAnsi="仿宋_GB2312" w:eastAsia="仿宋_GB2312" w:cs="仿宋_GB2312"/>
          <w:b/>
          <w:bCs/>
          <w:sz w:val="28"/>
          <w:szCs w:val="28"/>
        </w:rPr>
        <w:t>指标评分表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6</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过程</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r>
              <w:rPr>
                <w:rFonts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产出</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30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效益</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9</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r>
              <w:rPr>
                <w:rFonts w:ascii="仿宋_GB2312" w:hAnsi="仿宋_GB2312" w:eastAsia="仿宋_GB2312" w:cs="仿宋_GB2312"/>
                <w:sz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b/>
                <w:bCs/>
                <w:sz w:val="24"/>
              </w:rPr>
              <w:t>绩效评价得分：</w:t>
            </w:r>
            <w:r>
              <w:rPr>
                <w:rFonts w:ascii="仿宋_GB2312" w:hAnsi="仿宋_GB2312" w:eastAsia="仿宋_GB2312" w:cs="仿宋_GB2312"/>
                <w:b/>
                <w:bCs/>
                <w:sz w:val="24"/>
              </w:rPr>
              <w:t>93</w:t>
            </w:r>
            <w:r>
              <w:rPr>
                <w:rFonts w:hint="eastAsia" w:ascii="仿宋_GB2312" w:hAnsi="仿宋_GB2312" w:eastAsia="仿宋_GB2312" w:cs="仿宋_GB2312"/>
                <w:b/>
                <w:bCs/>
                <w:sz w:val="24"/>
              </w:rPr>
              <w:t xml:space="preserve">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（一）项目决策情况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从“项目立项”“绩效目标”和“资金投入”三个方面对项目进行评价，分值共计20分。沙窝村移民安置点道路桥梁拓宽工程项目立项程序规范，采购实施计划合规，资金投入情况较为合理，但项目主管单位并未进行自评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经综合评价，项目决策评价得分1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分，得分率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（二）项目过程情况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从“资金管理”“采购信息公开及合同履约验收”和“组织实施”三个方面对项目进行评价，分值共计20分。该项目政府采购程序和方式合法合规，项目整体落实情况较好。但存在项目单位未设置专项资金管理办法和制度有效性执行情况不足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经综合评价，项目过程评价得分1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得分率9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（三）项目产出情况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项目产出从“产出数量”“产出质量”“产出时效”和“产出成本”四个方面对项目进行评价，分值共计30分。该项目政府产出部分绩效目标任务完成情况较好。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经综合评价，项目产出评价得分</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分，得分率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效益从“社会效益”“经济效益”“可持续影响”和“满意度”四个方面对项目进行评价，分值共计30分。移民点道桥拓宽工程项目整体效益良好，通过项目的实施，可以改善当地交通出行环境，提高道路桥梁通行能力，为附近群众提供安全便利的出行条件，通过新建道桥，能够完善沙窝村基础设施，改善当地投资环境，但缺少对于已建成道桥后续维护资金来源、管护责任等方面的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经综合评价，项目效益评价得分29分，得分率9</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.67%。</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四、主要经验及做法</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（一）专项资金精准安排使用，紧扣直达资金使用方向。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移民点道桥拓宽工程项目中，项目主管部门精准把握上级直达资金政策意图，优化支出结构、调整支持重点，较为科学地分配并使用专项资金，以资金使用为导向，主要用于乡村道路基础设施建设。通过专项资金的精准安排，进一步夯实了乡村道路发展基础，着力改善人民群众的生产生活条件，全力助推当地经济发展。</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（二）前期工作完成</w:t>
      </w:r>
      <w:r>
        <w:rPr>
          <w:rFonts w:hint="eastAsia" w:ascii="楷体" w:hAnsi="楷体" w:eastAsia="楷体" w:cs="仿宋_GB2312"/>
          <w:b/>
          <w:bCs/>
          <w:sz w:val="32"/>
          <w:szCs w:val="32"/>
          <w:lang w:val="en-US" w:eastAsia="zh-CN"/>
        </w:rPr>
        <w:t>得</w:t>
      </w:r>
      <w:r>
        <w:rPr>
          <w:rFonts w:hint="eastAsia" w:ascii="楷体" w:hAnsi="楷体" w:eastAsia="楷体" w:cs="仿宋_GB2312"/>
          <w:b/>
          <w:bCs/>
          <w:sz w:val="32"/>
          <w:szCs w:val="32"/>
        </w:rPr>
        <w:t>较为扎实。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移民点道桥拓宽工程项目的建设，在结合实际路况的基础上，反复</w:t>
      </w:r>
      <w:r>
        <w:rPr>
          <w:rFonts w:hint="eastAsia" w:ascii="仿宋_GB2312" w:hAnsi="仿宋_GB2312" w:eastAsia="仿宋_GB2312" w:cs="仿宋_GB2312"/>
          <w:sz w:val="32"/>
          <w:szCs w:val="32"/>
          <w:lang w:val="en-US" w:eastAsia="zh-CN"/>
        </w:rPr>
        <w:t>勘查</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highlight w:val="none"/>
          <w:lang w:eastAsia="zh-CN"/>
        </w:rPr>
        <w:t>场</w:t>
      </w:r>
      <w:r>
        <w:rPr>
          <w:rFonts w:hint="eastAsia" w:ascii="仿宋_GB2312" w:hAnsi="仿宋_GB2312" w:eastAsia="仿宋_GB2312" w:cs="仿宋_GB2312"/>
          <w:sz w:val="32"/>
          <w:szCs w:val="32"/>
        </w:rPr>
        <w:t>，广泛征求群众意见，充分论证方案，科学规划设计，制定了改造方案并组织实施。该工程因地制宜、阳光透明、机制完善，科学评估，尊重当地自然条件，同时建立督导、检查、考核机制，发挥典型示范带动作用，对整治工作组织实施不力的及时问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（一）绩效自评工作暂未开展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在评价组收集资料期间，发现项目主管单位并未开展绩效自评工作，导致自评报告及绩效指标完成情况等资料缺少，</w:t>
      </w:r>
      <w:r>
        <w:rPr>
          <w:rFonts w:hint="eastAsia" w:ascii="仿宋_GB2312" w:hAnsi="仿宋_GB2312" w:eastAsia="仿宋_GB2312" w:cs="仿宋_GB2312"/>
          <w:sz w:val="32"/>
          <w:szCs w:val="32"/>
          <w:highlight w:val="none"/>
          <w:lang w:eastAsia="zh-CN"/>
        </w:rPr>
        <w:t>不符合</w:t>
      </w:r>
      <w:r>
        <w:rPr>
          <w:rFonts w:hint="eastAsia" w:ascii="仿宋_GB2312" w:hAnsi="仿宋_GB2312" w:eastAsia="仿宋_GB2312" w:cs="仿宋_GB2312"/>
          <w:sz w:val="32"/>
          <w:szCs w:val="32"/>
        </w:rPr>
        <w:t>《财政部关于印发〈项目支出绩效评价管理办法〉的通知》（财预〔2020〕10号）“单位自评由项目单位自主实施，即‘谁支出、谁自评’，旨在落实资金使用单位绩效主体责任，要求实现全面覆盖。”和《佛坪县财政局 关于下达革命老区转移支付资金的通知》（佛财办预〔2022〕6号）中“项目完工后，要对项目实施情况进行自查总结和绩效评价，并及时报送项目实施整套资料和自查总结及绩效评价报告……”。</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（二）未制定革命老区专项资金管理制度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通过查看项目的施工合同、购置合同及财政支付凭证等资料，各项工作流程较为规范，属于政府采购类项目的均严格按照国家相关法规进行</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。专项资金作为落实积极财政政策的重要抓手，相关部门未针对该项目制定专项资金管理制度，专项资金管理制度建设有待进一步加强。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（一）加强绩效自评工作，强化绩效目标管理工作。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项目单位按照财政部与佛坪县相关绩效评价文件，不断提高部门和单位工作人员的绩效管理意识，紧密联系绩效目标，结合项目实际情况及特点，针对各项目具体细化绩效指标、年度目标，定期申报进度及完成情况，完成内容等，强化预算绩效管理评价结果应用。</w:t>
      </w:r>
    </w:p>
    <w:p>
      <w:pPr>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（二）针对专项资金制定相关管理制度。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专项资金的监督管理，确保资金使用有规可依，有规必依，全面修订完善现有财政专项资金管理制度。建议项目主管部门结合项目实际情况，会同相关人员制定专项资金的一系列管理制度，例如：项目资金管理办法、绩效考核管理办法等，为项目的整体</w:t>
      </w:r>
      <w:r>
        <w:rPr>
          <w:rFonts w:hint="eastAsia" w:ascii="仿宋_GB2312" w:hAnsi="仿宋_GB2312" w:eastAsia="仿宋_GB2312" w:cs="仿宋_GB2312"/>
          <w:sz w:val="32"/>
          <w:szCs w:val="32"/>
          <w:highlight w:val="none"/>
        </w:rPr>
        <w:t>规范实施</w:t>
      </w:r>
      <w:r>
        <w:rPr>
          <w:rFonts w:hint="eastAsia" w:ascii="仿宋_GB2312" w:hAnsi="仿宋_GB2312" w:eastAsia="仿宋_GB2312" w:cs="仿宋_GB2312"/>
          <w:sz w:val="32"/>
          <w:szCs w:val="32"/>
        </w:rPr>
        <w:t>提供较为全面的制度保障。</w:t>
      </w:r>
    </w:p>
    <w:p>
      <w:pPr>
        <w:ind w:firstLine="640" w:firstLineChars="200"/>
        <w:rPr>
          <w:rFonts w:hint="eastAsia" w:ascii="仿宋_GB2312" w:hAnsi="仿宋_GB2312" w:eastAsia="仿宋_GB2312" w:cs="仿宋_GB2312"/>
          <w:sz w:val="32"/>
          <w:szCs w:val="32"/>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2022年度保障性安居工程补助资金项目</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2022年度保障性安居工程补助资金项目主要用于佛坪县2022年城区老旧小区改造支出以及向符合条件的在市场租赁住房的保障家庭发放租赁补贴支出。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镇老旧小区改造是重大民生工程和发展工程，对满足人民群众美好生活需要、推动惠民生扩内需、推进城市更新和开发建设方式转型、促进经济高质量发展具有十分重要的意义，党中央、国务院高度重视城镇老旧小区改造工作，习近平总书记多次作出重要指示批示，李克强总理在《政府工作报告》中也作出明确部署。2020 年7月，国务院办公厅正式印发了《关于全面推进城镇老旧小区改造工作的指导意见》（国办发〔2020〕102 号），全国城镇老旧小区改造工作全面提速。《指导意见》指出，改造提升城镇老旧小区，改善居民居住条件，构建共享共治</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社区治理体系，让人民群众生活更方便、更舒心、更美好，这为城镇老旧小区改造指明了方向。</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（二）资金情况</w:t>
      </w:r>
    </w:p>
    <w:p>
      <w:pPr>
        <w:spacing w:line="560" w:lineRule="exact"/>
        <w:ind w:firstLine="64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32"/>
          <w:szCs w:val="32"/>
        </w:rPr>
        <w:t>2022年度保障性安居工程补助资金项目共涉及专项资金583.00万元，具体资金使用情况如下表：</w:t>
      </w:r>
    </w:p>
    <w:p>
      <w:pPr>
        <w:widowControl/>
        <w:spacing w:before="156" w:beforeLines="50" w:line="400" w:lineRule="exact"/>
        <w:jc w:val="center"/>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财政资金支出明细表</w:t>
      </w:r>
    </w:p>
    <w:p>
      <w:pPr>
        <w:spacing w:line="400" w:lineRule="exact"/>
        <w:ind w:firstLine="48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24"/>
        </w:rPr>
        <w:t>金额单位：万元</w:t>
      </w:r>
    </w:p>
    <w:tbl>
      <w:tblPr>
        <w:tblStyle w:val="12"/>
        <w:tblW w:w="50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967"/>
        <w:gridCol w:w="1420"/>
        <w:gridCol w:w="1936"/>
        <w:gridCol w:w="1424"/>
        <w:gridCol w:w="1186"/>
        <w:gridCol w:w="13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093" w:type="pct"/>
            <w:shd w:val="clear" w:color="auto" w:fill="auto"/>
            <w:vAlign w:val="center"/>
          </w:tcPr>
          <w:p>
            <w:pPr>
              <w:spacing w:line="560" w:lineRule="exact"/>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797"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2021年结转</w:t>
            </w:r>
          </w:p>
        </w:tc>
        <w:tc>
          <w:tcPr>
            <w:tcW w:w="1076"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2022年拨付资金</w:t>
            </w:r>
          </w:p>
        </w:tc>
        <w:tc>
          <w:tcPr>
            <w:tcW w:w="679"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实际支出</w:t>
            </w:r>
          </w:p>
        </w:tc>
        <w:tc>
          <w:tcPr>
            <w:tcW w:w="670"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财政收回</w:t>
            </w:r>
          </w:p>
        </w:tc>
        <w:tc>
          <w:tcPr>
            <w:tcW w:w="683"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结余资金</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093"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2022年城区老旧小区改造</w:t>
            </w:r>
          </w:p>
        </w:tc>
        <w:tc>
          <w:tcPr>
            <w:tcW w:w="797" w:type="pct"/>
            <w:shd w:val="clear" w:color="auto" w:fill="auto"/>
            <w:vAlign w:val="center"/>
          </w:tcPr>
          <w:p>
            <w:pPr>
              <w:spacing w:line="560" w:lineRule="exact"/>
              <w:ind w:firstLine="480"/>
              <w:jc w:val="center"/>
              <w:rPr>
                <w:rFonts w:ascii="仿宋_GB2312" w:hAnsi="仿宋_GB2312" w:eastAsia="仿宋_GB2312" w:cs="仿宋_GB2312"/>
                <w:sz w:val="24"/>
              </w:rPr>
            </w:pPr>
          </w:p>
        </w:tc>
        <w:tc>
          <w:tcPr>
            <w:tcW w:w="1076"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563.00</w:t>
            </w:r>
          </w:p>
        </w:tc>
        <w:tc>
          <w:tcPr>
            <w:tcW w:w="679"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556.10</w:t>
            </w:r>
          </w:p>
        </w:tc>
        <w:tc>
          <w:tcPr>
            <w:tcW w:w="670" w:type="pct"/>
            <w:shd w:val="clear" w:color="auto" w:fill="auto"/>
            <w:vAlign w:val="center"/>
          </w:tcPr>
          <w:p>
            <w:pPr>
              <w:spacing w:line="560" w:lineRule="exact"/>
              <w:ind w:firstLine="480"/>
              <w:jc w:val="center"/>
              <w:rPr>
                <w:rFonts w:ascii="仿宋_GB2312" w:hAnsi="仿宋_GB2312" w:eastAsia="仿宋_GB2312" w:cs="仿宋_GB2312"/>
                <w:sz w:val="24"/>
              </w:rPr>
            </w:pPr>
          </w:p>
        </w:tc>
        <w:tc>
          <w:tcPr>
            <w:tcW w:w="683"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6.90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093"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2022年租赁补贴</w:t>
            </w:r>
          </w:p>
        </w:tc>
        <w:tc>
          <w:tcPr>
            <w:tcW w:w="797"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10.81</w:t>
            </w:r>
          </w:p>
        </w:tc>
        <w:tc>
          <w:tcPr>
            <w:tcW w:w="1076"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20.00</w:t>
            </w:r>
          </w:p>
        </w:tc>
        <w:tc>
          <w:tcPr>
            <w:tcW w:w="679"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10.31</w:t>
            </w:r>
          </w:p>
        </w:tc>
        <w:tc>
          <w:tcPr>
            <w:tcW w:w="670"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0.50</w:t>
            </w:r>
          </w:p>
        </w:tc>
        <w:tc>
          <w:tcPr>
            <w:tcW w:w="683" w:type="pct"/>
            <w:shd w:val="clear" w:color="auto" w:fill="auto"/>
            <w:vAlign w:val="center"/>
          </w:tcPr>
          <w:p>
            <w:pPr>
              <w:spacing w:line="560" w:lineRule="exact"/>
              <w:ind w:firstLine="480"/>
              <w:jc w:val="center"/>
              <w:rPr>
                <w:rFonts w:ascii="仿宋_GB2312" w:hAnsi="仿宋_GB2312" w:eastAsia="仿宋_GB2312" w:cs="仿宋_GB2312"/>
                <w:sz w:val="24"/>
              </w:rPr>
            </w:pPr>
            <w:r>
              <w:rPr>
                <w:rFonts w:hint="eastAsia" w:ascii="仿宋_GB2312" w:hAnsi="仿宋_GB2312" w:eastAsia="仿宋_GB2312" w:cs="仿宋_GB2312"/>
                <w:sz w:val="24"/>
              </w:rPr>
              <w:t>20.00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093"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合计</w:t>
            </w:r>
          </w:p>
        </w:tc>
        <w:tc>
          <w:tcPr>
            <w:tcW w:w="797"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10.81</w:t>
            </w:r>
          </w:p>
        </w:tc>
        <w:tc>
          <w:tcPr>
            <w:tcW w:w="1076"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583.00</w:t>
            </w:r>
          </w:p>
        </w:tc>
        <w:tc>
          <w:tcPr>
            <w:tcW w:w="679"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566.41</w:t>
            </w:r>
          </w:p>
        </w:tc>
        <w:tc>
          <w:tcPr>
            <w:tcW w:w="670"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0.50</w:t>
            </w:r>
          </w:p>
        </w:tc>
        <w:tc>
          <w:tcPr>
            <w:tcW w:w="683" w:type="pct"/>
            <w:shd w:val="clear" w:color="auto" w:fill="auto"/>
            <w:vAlign w:val="center"/>
          </w:tcPr>
          <w:p>
            <w:pPr>
              <w:spacing w:line="560" w:lineRule="exact"/>
              <w:ind w:firstLine="482"/>
              <w:jc w:val="center"/>
              <w:rPr>
                <w:rFonts w:ascii="仿宋_GB2312" w:hAnsi="仿宋_GB2312" w:eastAsia="仿宋_GB2312" w:cs="仿宋_GB2312"/>
                <w:b/>
                <w:bCs/>
                <w:sz w:val="24"/>
              </w:rPr>
            </w:pPr>
            <w:r>
              <w:rPr>
                <w:rFonts w:hint="eastAsia" w:ascii="仿宋_GB2312" w:hAnsi="仿宋_GB2312" w:eastAsia="仿宋_GB2312" w:cs="仿宋_GB2312"/>
                <w:b/>
                <w:bCs/>
                <w:sz w:val="24"/>
              </w:rPr>
              <w:t>26.90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保障性安居工程补助项目各项工作基本按照设定的年度目标完成，项目整体支出绩效良好，绩效目标、采购需求合理明确，符合《中华人民共和国政府采购法》及相关法律法规的规定。通过项目的实施，改善了居民生活环境，提升了居民的居住幸福感。但还存在合同管理制度不健全、绩效指标设置不够合理、项目验收不及时和后续管护不力的问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经综合评价，本次2022年度保障性安居工程补助资金项目绩效评价得分</w:t>
      </w:r>
      <w:r>
        <w:rPr>
          <w:rFonts w:ascii="仿宋_GB2312" w:hAnsi="仿宋_GB2312" w:eastAsia="仿宋_GB2312" w:cs="仿宋_GB2312"/>
          <w:b/>
          <w:sz w:val="32"/>
          <w:szCs w:val="32"/>
        </w:rPr>
        <w:t>85.41</w:t>
      </w:r>
      <w:r>
        <w:rPr>
          <w:rFonts w:hint="eastAsia" w:ascii="仿宋_GB2312" w:hAnsi="仿宋_GB2312" w:eastAsia="仿宋_GB2312" w:cs="仿宋_GB2312"/>
          <w:b/>
          <w:sz w:val="32"/>
          <w:szCs w:val="32"/>
        </w:rPr>
        <w:t>分，综合评价结果等级为“优”。</w:t>
      </w:r>
    </w:p>
    <w:p>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表</w:t>
      </w:r>
      <w:r>
        <w:rPr>
          <w:rFonts w:hint="eastAsia" w:ascii="仿宋_GB2312" w:hAnsi="仿宋_GB2312" w:eastAsia="仿宋_GB2312" w:cs="仿宋_GB2312"/>
          <w:b/>
          <w:bCs/>
          <w:sz w:val="28"/>
          <w:szCs w:val="28"/>
        </w:rPr>
        <w:t>2</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 xml:space="preserve"> 2022年度保障性安居工程补助资金项目</w:t>
      </w:r>
      <w:r>
        <w:rPr>
          <w:rFonts w:ascii="仿宋_GB2312" w:hAnsi="仿宋_GB2312" w:eastAsia="仿宋_GB2312" w:cs="仿宋_GB2312"/>
          <w:b/>
          <w:bCs/>
          <w:sz w:val="28"/>
          <w:szCs w:val="28"/>
        </w:rPr>
        <w:t>指标评分表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eastAsia="仿宋_GB2312"/>
                <w:sz w:val="24"/>
              </w:rPr>
              <w:t>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r>
              <w:rPr>
                <w:rFonts w:hint="eastAsia" w:ascii="仿宋_GB2312" w:hAnsi="仿宋_GB2312" w:eastAsia="仿宋_GB2312" w:cs="仿宋_GB2312"/>
                <w:sz w:val="24"/>
              </w:rPr>
              <w:t>.</w:t>
            </w:r>
            <w:r>
              <w:rPr>
                <w:rFonts w:ascii="仿宋_GB2312" w:hAnsi="仿宋_GB2312" w:eastAsia="仿宋_GB2312" w:cs="仿宋_GB2312"/>
                <w:sz w:val="24"/>
              </w:rPr>
              <w:t>5</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r>
              <w:rPr>
                <w:rFonts w:ascii="仿宋_GB2312" w:hAnsi="仿宋_GB2312" w:eastAsia="仿宋_GB2312" w:cs="仿宋_GB2312"/>
                <w:sz w:val="24"/>
              </w:rPr>
              <w:t>2</w:t>
            </w:r>
            <w:r>
              <w:rPr>
                <w:rFonts w:hint="eastAsia" w:ascii="仿宋_GB2312" w:hAnsi="仿宋_GB2312" w:eastAsia="仿宋_GB2312" w:cs="仿宋_GB2312"/>
                <w:sz w:val="24"/>
              </w:rPr>
              <w:t>.</w:t>
            </w:r>
            <w:r>
              <w:rPr>
                <w:rFonts w:ascii="仿宋_GB2312" w:hAnsi="仿宋_GB2312" w:eastAsia="仿宋_GB2312" w:cs="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eastAsia="仿宋_GB2312"/>
                <w:sz w:val="24"/>
              </w:rPr>
              <w:t>过程</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15.41</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eastAsia="仿宋_GB2312"/>
                <w:sz w:val="24"/>
              </w:rPr>
              <w:t>产出</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27</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eastAsia="仿宋_GB2312"/>
                <w:sz w:val="24"/>
              </w:rPr>
              <w:t>效益</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4.5</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绩效评价得分：</w:t>
            </w:r>
            <w:r>
              <w:rPr>
                <w:rFonts w:ascii="仿宋_GB2312" w:hAnsi="仿宋_GB2312" w:eastAsia="仿宋_GB2312" w:cs="仿宋_GB2312"/>
                <w:b/>
                <w:bCs/>
                <w:sz w:val="24"/>
              </w:rPr>
              <w:t>85.41</w:t>
            </w:r>
            <w:r>
              <w:rPr>
                <w:rFonts w:hint="eastAsia" w:ascii="仿宋_GB2312" w:hAnsi="仿宋_GB2312" w:eastAsia="仿宋_GB2312" w:cs="仿宋_GB2312"/>
                <w:b/>
                <w:bCs/>
                <w:sz w:val="24"/>
              </w:rPr>
              <w:t xml:space="preserve">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（一）项目决策情况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项目决策从“项目立项”“绩效目标”和“资金投入”三个方面对项目进行评价，分值共计20分。该项目立项程序规范，采购实施计划合规，资金投入情况较为合理，但存在绩效目标不够合理的情况。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经综合评价，项目决策评价得分18.5分，得分率92.5%</w:t>
      </w:r>
      <w:r>
        <w:rPr>
          <w:rFonts w:hint="eastAsia" w:ascii="仿宋_GB2312" w:hAnsi="仿宋_GB2312" w:eastAsia="仿宋_GB2312" w:cs="仿宋_GB2312"/>
          <w:sz w:val="32"/>
          <w:szCs w:val="32"/>
          <w:highlight w:val="none"/>
          <w:lang w:eastAsia="zh-CN"/>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（二）项目过程情况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从“资金管理”和“组织实施”两个方面对项目进行评价，分值共计20分。该项目政府采购程序和方式合法合规、财务管理制度健全、项目整体落实情况较好。但存在项目管理制度不健全制度有效性执行情况不足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经综合评价，项目过程评价得分15.41分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得分率77.05%。</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（三）项目产出情况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项目产出从“产出数量”“产出质量”“产出时效”和“产出成本”四个方面对项目进行评价，分值共计30分。该项目产出部分完成情况较好。但项目截止评价日暂未开展验收工作。</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经综合评价，项目产出评价得分27分，得分率90.00%</w:t>
      </w:r>
      <w:r>
        <w:rPr>
          <w:rFonts w:hint="eastAsia" w:ascii="仿宋_GB2312" w:hAnsi="仿宋_GB2312" w:eastAsia="仿宋_GB2312" w:cs="仿宋_GB2312"/>
          <w:sz w:val="32"/>
          <w:szCs w:val="32"/>
          <w:highlight w:val="none"/>
          <w:lang w:eastAsia="zh-CN"/>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项目效益从 “社会效益”“可持续影响”和“满意度”三个方面对项目进行评价，分值共计30分。该项目整体效益良好，通过项目的实施，很大程度上改善了居民的生活环境，缓解了</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住房压力，但在后续管护方面存在一些问题。</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经综合评价，项目效益评价得分24.5分，得分率81.67%</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四、主要经验及做法</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（一）坚持多方共担，筹足资金。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针对老旧小区改造资金不足、社会资本参与不积极等难题，积极探索完善改造资金</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政府与居民、社会力量合理共担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机制。县住建局积极动员小区居民开展资金自筹，助力推进老旧小区改造，按照 “谁受益、谁出资”的原则在天然气改造和自来水一户一表改造方面共向居民筹资37.96万元，减轻了各级财政负担，增强了居民生活住所改造</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责任感与参与感。</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（二）坚持“一钱多用”，</w:t>
      </w:r>
      <w:r>
        <w:rPr>
          <w:rFonts w:hint="eastAsia" w:ascii="楷体" w:hAnsi="楷体" w:eastAsia="楷体" w:cs="仿宋_GB2312"/>
          <w:b/>
          <w:bCs/>
          <w:sz w:val="32"/>
          <w:szCs w:val="32"/>
          <w:lang w:val="en-US" w:eastAsia="zh-CN"/>
        </w:rPr>
        <w:t>健全</w:t>
      </w:r>
      <w:r>
        <w:rPr>
          <w:rFonts w:hint="eastAsia" w:ascii="楷体" w:hAnsi="楷体" w:eastAsia="楷体" w:cs="仿宋_GB2312"/>
          <w:b/>
          <w:bCs/>
          <w:sz w:val="32"/>
          <w:szCs w:val="32"/>
        </w:rPr>
        <w:t>配套设施。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筹推进老旧小区改造，不仅要改善环境问题，也要聚焦排水、停车、便民设施等群众反映强烈的“急难愁盼”问题，谋划筹备老旧小区改造配套基础设施项目。县住建局在对12处老旧小区进行改造的基础上，针对停车位少等问题也做了相应规划，利用有限资金真正解决实际问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（一）合同管理制度不健全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查看项目归档资料，发现部分已归档资料存在管理问题。合同签订方面，评价组发现部分合同内容为手写，且未加盖骑缝章，在合同中未约定项目具体工期，工程质量保修书内容空白，未注明签订时间。在已归档的招投标文件中，存在两份资格预审文件，且单位一致的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（二）绩效指标设置合理性有待提高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分绩效指标设置与其内涵不符。第一，时效指标设置了“专项资金年度使用率”和“是否按规定及时、规范披露信息”两个指标，指标内涵不符合《财政部关于印发项目支出绩效评价管理办法的通知》（财预〔2020〕10号）对产出时效指标的解释“用以反映和考核项目产出时效目标的实现程度”；成本指标设置了“初设投资偏离度”，不符合财预10号文对产出成本指标的解释“完成项目计划工作目标的实际节约成本与计划成本的比率，用以反映和考核项目的成本节约程度”。第二，社会效益设置了“改善人居环境，提升县城风貌”，指标值设置为100%，该指标属于定性指标，指标值应根据项目效益进行定性描述。</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（三）项目整体已完工但暂未验收</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截至2022年</w:t>
      </w:r>
      <w:r>
        <w:rPr>
          <w:rFonts w:hint="eastAsia" w:ascii="仿宋_GB2312" w:hAnsi="仿宋_GB2312" w:eastAsia="仿宋_GB2312" w:cs="仿宋_GB2312"/>
          <w:sz w:val="32"/>
          <w:szCs w:val="32"/>
        </w:rPr>
        <w:t>12月31日，项目老旧小区改造部分已完工并投入使用，但截止评价日相关单位暂未组织验收，不符合《</w:t>
      </w:r>
      <w:r>
        <w:t>中华人</w:t>
      </w:r>
      <w:r>
        <w:rPr>
          <w:rFonts w:hint="eastAsia" w:ascii="仿宋_GB2312" w:hAnsi="仿宋_GB2312" w:eastAsia="仿宋_GB2312" w:cs="仿宋_GB2312"/>
          <w:sz w:val="32"/>
          <w:szCs w:val="32"/>
          <w:highlight w:val="none"/>
          <w:lang w:eastAsia="zh-CN"/>
        </w:rPr>
        <w:t>民共和国建筑法》第61条、《中华人民共和国合同法]》第279条规定 ，建设工程竣工后，发包方应当根据施工图纸和说明书、国家颁发的施工验收规范和质量检验标准及时验收。</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（四）项目建成后缺少后续管护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分老旧小区改造项目尚未建立完善的长效管理机制，后续管理维护得不到保障。第一，老旧小区改造升级后缺乏后期管护。部分老旧小区改造完成后物业管理公司职能单一，有些小区只是雇佣保洁人员进行日常的清扫管理，后续的基础设施维护得不到保障。第二，老旧小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后续管护资金来源持续性差。老旧小区的居民对于物业服务的付费意识较差，导致物业费收取较为困难，老旧小区的后续管护资金没有稳定来源。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560" w:lineRule="exact"/>
        <w:ind w:firstLine="643" w:firstLineChars="200"/>
        <w:rPr>
          <w:rFonts w:ascii="楷体" w:hAnsi="楷体" w:eastAsia="楷体" w:cs="仿宋_GB2312"/>
          <w:b/>
          <w:bCs/>
          <w:sz w:val="32"/>
          <w:szCs w:val="32"/>
        </w:rPr>
      </w:pPr>
      <w:r>
        <w:rPr>
          <w:rFonts w:ascii="楷体" w:hAnsi="楷体" w:eastAsia="楷体" w:cs="仿宋_GB2312"/>
          <w:b/>
          <w:bCs/>
          <w:sz w:val="32"/>
          <w:szCs w:val="32"/>
        </w:rPr>
        <w:t>（一）</w:t>
      </w:r>
      <w:r>
        <w:rPr>
          <w:rFonts w:hint="eastAsia" w:ascii="楷体" w:hAnsi="楷体" w:eastAsia="楷体" w:cs="仿宋_GB2312"/>
          <w:b/>
          <w:bCs/>
          <w:sz w:val="32"/>
          <w:szCs w:val="32"/>
        </w:rPr>
        <w:t>健全合同管理等内控制度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部门应进一步提高单位内部管理水平，加强风险防控机制建设，通过制定制度、实施措施和执行程序，对各项活动的风险进行防范和管控，实现合同归口管理，明确应签订合同的范围和条件，促进监控合同履行，建立合同纠纷协调机制，保障财政资金使用安全、提高项目的运行效率。</w:t>
      </w:r>
    </w:p>
    <w:p>
      <w:pPr>
        <w:spacing w:line="560" w:lineRule="exact"/>
        <w:ind w:firstLine="599" w:firstLineChars="200"/>
        <w:rPr>
          <w:rFonts w:ascii="楷体" w:hAnsi="楷体" w:eastAsia="楷体" w:cs="仿宋_GB2312"/>
          <w:b/>
          <w:bCs/>
          <w:spacing w:val="-11"/>
          <w:sz w:val="32"/>
          <w:szCs w:val="32"/>
        </w:rPr>
      </w:pPr>
      <w:r>
        <w:rPr>
          <w:rFonts w:hint="eastAsia" w:ascii="楷体" w:hAnsi="楷体" w:eastAsia="楷体" w:cs="仿宋_GB2312"/>
          <w:b/>
          <w:bCs/>
          <w:spacing w:val="-11"/>
          <w:sz w:val="32"/>
          <w:szCs w:val="32"/>
        </w:rPr>
        <w:t>（二）加强绩效目标管理，提高指标设置</w:t>
      </w:r>
      <w:r>
        <w:rPr>
          <w:rFonts w:hint="eastAsia" w:ascii="楷体" w:hAnsi="楷体" w:eastAsia="楷体" w:cs="仿宋_GB2312"/>
          <w:b/>
          <w:bCs/>
          <w:spacing w:val="-11"/>
          <w:sz w:val="32"/>
          <w:szCs w:val="32"/>
          <w:lang w:val="en-US" w:eastAsia="zh-CN"/>
        </w:rPr>
        <w:t>的</w:t>
      </w:r>
      <w:r>
        <w:rPr>
          <w:rFonts w:hint="eastAsia" w:ascii="楷体" w:hAnsi="楷体" w:eastAsia="楷体" w:cs="仿宋_GB2312"/>
          <w:b/>
          <w:bCs/>
          <w:spacing w:val="-11"/>
          <w:sz w:val="32"/>
          <w:szCs w:val="32"/>
        </w:rPr>
        <w:t>科学性和精细化水平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是实施绩效监控、开展绩效评价的重要基础，年度绩效目标应围绕可量化、可衡量、可评价的维度设计。建议项目单位按照财政部与佛坪县相关绩效评价文件，紧密联系绩效目标，结合项目实际情况及特点，提升绩效指标设置的质量，提高绩效指标设置的科学性、合理性，为项目后期绩效管理工作提供科学合理的标准。</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（三）严格履行职责，加快项目验收进度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相关部门应牢固树立时间节点意识，对照既定目标任务组织人员验收，对于部分不规范项目及时督促检查，提升工作效能，严把质量安全关，高质量完成验收任务，避免因项目未及时验收而</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没有发现的工程质量缺陷等问题。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（四）完善配套政策，加强后续管护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尽快建立并完善适合老旧小区改造的技术规范体系，从项目立项、施工、验收等环节，梳理现有程序，形成适合实际情况的老旧小区综合改造标准体系，并制定改造后的管理和维护标准。研究建立专业物业管理公司提前介入改造方案。探索</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政府购买服务、菜单式物业管理、业主自管等方式建立长效</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机制。探索老旧小区物业专项维修资金的建立，通过新增设施有偿使用等方式解决小区长效管护的资金来源问题。</w:t>
      </w:r>
    </w:p>
    <w:p>
      <w:pPr>
        <w:jc w:val="left"/>
        <w:rPr>
          <w:rFonts w:ascii="黑体" w:hAnsi="黑体" w:eastAsia="黑体" w:cs="黑体"/>
          <w:sz w:val="32"/>
          <w:szCs w:val="32"/>
          <w:highlight w:val="yellow"/>
        </w:rPr>
      </w:pPr>
    </w:p>
    <w:p>
      <w:pPr>
        <w:spacing w:line="640" w:lineRule="exact"/>
        <w:jc w:val="center"/>
        <w:rPr>
          <w:rFonts w:hint="eastAsia" w:ascii="方正小标宋简体" w:hAnsi="方正小标宋简体" w:eastAsia="方正小标宋简体" w:cs="方正小标宋简体"/>
          <w:sz w:val="44"/>
          <w:szCs w:val="44"/>
          <w:highlight w:val="yellow"/>
        </w:rPr>
      </w:pPr>
      <w:r>
        <w:rPr>
          <w:rFonts w:hint="eastAsia" w:ascii="方正小标宋简体" w:hAnsi="方正小标宋简体" w:eastAsia="方正小标宋简体" w:cs="方正小标宋简体"/>
          <w:sz w:val="44"/>
          <w:szCs w:val="44"/>
        </w:rPr>
        <w:t>2022年大豆玉米套种补助资金</w:t>
      </w:r>
    </w:p>
    <w:p>
      <w:pPr>
        <w:spacing w:line="64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豆玉米带状复合种植改单一作物种植为高低作物搭配间作、改等行种植为大小垄耕种植，充分发挥边行优势，实现玉米产量基本不减、增收一季大豆，是传统间套种技术的创新发展。该模式集成了品种搭配、扩行缩株、营养调控、减量施肥、绿色防控、封闭除草、机播机收等关键技术，集高效轮作、绿色增收、提质增效三位一体，实现了基础理论研究、应用技术（机具）和示范推广的有机结合，为扩大大豆种植、提高大豆产能开辟了新的技术路径。</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汉中市农业农村局《关于印发2022年中央财政转移支付农业资源及生态保护补助资金项目实施方案的通知》（汉农计财〔2022〕22号）文件精神，该批次农业资源及生态保护补助资金项目通过耕地轮作（大豆玉米带状复合种植）提升耕地质量，其中佛坪全县大豆玉米带状复合种植0.2万亩。</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（二）资金情况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根据佛坪县财政局《关于下达农业生产发展资金的通知》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佛财办农〔2022〕84号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文件内容，以土地出让收入中下达资金40.00万元，专项用于佛坪县大豆玉米带状复合种植补助。</w:t>
      </w:r>
      <w:r>
        <w:rPr>
          <w:rFonts w:hint="eastAsia" w:ascii="仿宋_GB2312" w:hAnsi="仿宋_GB2312" w:eastAsia="仿宋_GB2312" w:cs="仿宋_GB2312"/>
          <w:sz w:val="32"/>
          <w:szCs w:val="32"/>
          <w:highlight w:val="none"/>
        </w:rPr>
        <w:t>截</w:t>
      </w:r>
      <w:r>
        <w:rPr>
          <w:rFonts w:hint="eastAsia"/>
          <w:lang w:val="en-US" w:eastAsia="zh-CN"/>
        </w:rPr>
        <w:t>至</w:t>
      </w:r>
      <w:r>
        <w:rPr>
          <w:rFonts w:hint="eastAsia" w:ascii="仿宋_GB2312" w:hAnsi="仿宋_GB2312" w:eastAsia="仿宋_GB2312" w:cs="仿宋_GB2312"/>
          <w:sz w:val="32"/>
          <w:szCs w:val="32"/>
          <w:highlight w:val="none"/>
        </w:rPr>
        <w:t>2022</w:t>
      </w:r>
      <w:r>
        <w:rPr>
          <w:rFonts w:hint="eastAsia" w:ascii="仿宋_GB2312" w:hAnsi="仿宋_GB2312" w:eastAsia="仿宋_GB2312" w:cs="仿宋_GB2312"/>
          <w:sz w:val="32"/>
          <w:szCs w:val="32"/>
        </w:rPr>
        <w:t>年底相关资金已补助到位。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2022年大豆玉米套种补助资金项目各项工作基本按照设定的年度目标完成，符合《农业农村部办公厅 财政部办公厅关于做好2022年粮食生产重点工作及政策落实的通知》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农办计财〔2022〕5号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《陕西省农业农村厅关于印发2022年中央财政转移支付农业资源及生态保护补助资金项目实施方案的通知》（陕农计财〔2022〕32号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）等文件精神，有助于通过耕地轮作（大豆玉米带状复合种植）提升耕地质量，为扩大大豆种植、提高大豆产能开辟了新的技术路径。但存在绩效指标不够明确，项目推广宣传工作有待加强等问题。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本次绩效评价按照</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决策、过程到产出、效果和影响的绩效逻辑路径，从项目立项审批、项目管理、资金使用、组织实施、项目产出、项目社会效益、生态效益等方面对项目进行客观分析。围绕项目决策、项目过程、项目产出、项目绩效四大指标体系进行综合评分。</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经综合评价，本次2022年大豆玉米套种补助资金项目绩效评价得分</w:t>
      </w:r>
      <w:r>
        <w:rPr>
          <w:rFonts w:ascii="仿宋_GB2312" w:hAnsi="仿宋_GB2312" w:eastAsia="仿宋_GB2312" w:cs="仿宋_GB2312"/>
          <w:b/>
          <w:sz w:val="32"/>
          <w:szCs w:val="32"/>
        </w:rPr>
        <w:t>94</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85</w:t>
      </w:r>
      <w:r>
        <w:rPr>
          <w:rFonts w:hint="eastAsia" w:ascii="仿宋_GB2312" w:hAnsi="仿宋_GB2312" w:eastAsia="仿宋_GB2312" w:cs="仿宋_GB2312"/>
          <w:b/>
          <w:sz w:val="32"/>
          <w:szCs w:val="32"/>
        </w:rPr>
        <w:t>分，综合评价结果等级为“优”。</w:t>
      </w:r>
    </w:p>
    <w:p>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表3-1 </w:t>
      </w:r>
      <w:r>
        <w:rPr>
          <w:rFonts w:hint="eastAsia" w:ascii="仿宋_GB2312" w:hAnsi="仿宋_GB2312" w:eastAsia="仿宋_GB2312" w:cs="仿宋_GB2312"/>
          <w:b/>
          <w:bCs/>
          <w:sz w:val="28"/>
          <w:szCs w:val="28"/>
        </w:rPr>
        <w:t>2022年大豆玉米套种补助资金项目</w:t>
      </w:r>
      <w:r>
        <w:rPr>
          <w:rFonts w:ascii="仿宋_GB2312" w:hAnsi="仿宋_GB2312" w:eastAsia="仿宋_GB2312" w:cs="仿宋_GB2312"/>
          <w:b/>
          <w:bCs/>
          <w:sz w:val="28"/>
          <w:szCs w:val="28"/>
        </w:rPr>
        <w:t>指标评分表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19</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95</w:t>
            </w:r>
            <w:r>
              <w:rPr>
                <w:rFonts w:hint="eastAsia" w:ascii="仿宋_GB2312" w:hAnsi="仿宋_GB2312" w:eastAsia="仿宋_GB2312" w:cs="仿宋_GB2312"/>
                <w:sz w:val="24"/>
              </w:rPr>
              <w:t>.</w:t>
            </w:r>
            <w:r>
              <w:rPr>
                <w:rFonts w:ascii="仿宋_GB2312" w:hAnsi="仿宋_GB2312" w:eastAsia="仿宋_GB2312" w:cs="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过程</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产出</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30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效益</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8.85</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b/>
                <w:bCs/>
                <w:sz w:val="24"/>
              </w:rPr>
              <w:t>绩效评价得分：</w:t>
            </w:r>
            <w:r>
              <w:rPr>
                <w:rFonts w:ascii="仿宋_GB2312" w:hAnsi="仿宋_GB2312" w:eastAsia="仿宋_GB2312" w:cs="仿宋_GB2312"/>
                <w:b/>
                <w:bCs/>
                <w:sz w:val="24"/>
              </w:rPr>
              <w:t>94.85</w:t>
            </w:r>
            <w:r>
              <w:rPr>
                <w:rFonts w:hint="eastAsia" w:ascii="仿宋_GB2312" w:hAnsi="仿宋_GB2312" w:eastAsia="仿宋_GB2312" w:cs="仿宋_GB2312"/>
                <w:b/>
                <w:bCs/>
                <w:sz w:val="24"/>
              </w:rPr>
              <w:t xml:space="preserve">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（一）项目决策情况</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项目决策从“项目立项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绩效目标”和“资金投入”三个方面对项目进行评价，分值共计20分。2022年大豆玉米套种补助资金项目立项程序规范，资金投入情况较为合理，但存在绩效指标设置不够明确的情况。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经综合评价，项目决策评价得分1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分，得分率9</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（二）项目过程情况</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项目过程从“资金管理”和“组织实施”两个方面对项目进行评价，分值共计20分。该项目补助发放方式合法合规、财务管理、业务制度健全、项目整体落实情况较好。但存在项目单位未及时形成项目实施总结报告，开展项目绩效自评工作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经综合评价，项目过程评价得分1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得分率</w:t>
      </w:r>
      <w:r>
        <w:rPr>
          <w:rFonts w:ascii="仿宋_GB2312" w:hAnsi="仿宋_GB2312" w:eastAsia="仿宋_GB2312" w:cs="仿宋_GB2312"/>
          <w:sz w:val="32"/>
          <w:szCs w:val="32"/>
        </w:rPr>
        <w:t>85.00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（三）项目产出情况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项目产出从“产出数量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产出质量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产出时效”和“产出成本”四个方面对项目进行评价，分值共计30分。该项目2022年大豆玉米带状复合种植及补助任务完成情况较好，资金兑付及时，项目成本控制有效。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经综合评价，项目产出评价得分</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分，得分率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项目效益从“经济效益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生态效益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持续影响”和“满意度”五个方面对项目进行评价，分值共计30分。2022年大豆玉米套种补助资金项目整体效益良好，通过大豆玉米带状复合种植可以提高农作物产量和农民收入，有助于推动农村经济的发展，减少氮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使用，保护耕地安全。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经综合评价，项目效益评价得分2</w:t>
      </w:r>
      <w:r>
        <w:rPr>
          <w:rFonts w:ascii="仿宋_GB2312" w:hAnsi="仿宋_GB2312" w:eastAsia="仿宋_GB2312" w:cs="仿宋_GB2312"/>
          <w:sz w:val="32"/>
          <w:szCs w:val="32"/>
        </w:rPr>
        <w:t>8.85</w:t>
      </w:r>
      <w:r>
        <w:rPr>
          <w:rFonts w:hint="eastAsia" w:ascii="仿宋_GB2312" w:hAnsi="仿宋_GB2312" w:eastAsia="仿宋_GB2312" w:cs="仿宋_GB2312"/>
          <w:sz w:val="32"/>
          <w:szCs w:val="32"/>
        </w:rPr>
        <w:t>分，得分率9</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四、主要经验及做法</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（一）提高单位产量</w:t>
      </w:r>
    </w:p>
    <w:p>
      <w:pPr>
        <w:spacing w:line="560" w:lineRule="exact"/>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大力推广“扩行距、缩株距、保密度”核心技术应用，选好技术模式，选对作物品种，良种良法配套，农机农艺融合。加强与县农技、农机等站所交流合作和成果分享，确保玉米基本不减产的同时增收一季大豆，提高单位面积土地产出率。</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（二）加强农机融合</w:t>
      </w:r>
    </w:p>
    <w:p>
      <w:pPr>
        <w:spacing w:line="560" w:lineRule="exact"/>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因地制宜选择适宜农用机具，加强农机配套技术培训指导，积极组织农业机械社会化服务主体开展全程托管服务和跨区域作业，提高农机使用效率，降低耕、种、收</w:t>
      </w:r>
      <w:r>
        <w:rPr>
          <w:rFonts w:hint="eastAsia" w:ascii="仿宋_GB2312" w:hAnsi="楷体" w:eastAsia="仿宋_GB2312" w:cs="仿宋_GB2312"/>
          <w:sz w:val="32"/>
          <w:szCs w:val="32"/>
          <w:lang w:val="en-US" w:eastAsia="zh-CN"/>
        </w:rPr>
        <w:t>等</w:t>
      </w:r>
      <w:r>
        <w:rPr>
          <w:rFonts w:hint="eastAsia" w:ascii="仿宋_GB2312" w:hAnsi="楷体" w:eastAsia="仿宋_GB2312" w:cs="仿宋_GB2312"/>
          <w:sz w:val="32"/>
          <w:szCs w:val="32"/>
        </w:rPr>
        <w:t>关键环节人工成本投入。鼓励支持新型经营主体或种植大户有序流转土地，采取托管、助耕等方式，实现规模化、标准化种植，逐步提高大豆生产机械化率。</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（三）强化绿色管控</w:t>
      </w:r>
    </w:p>
    <w:p>
      <w:pPr>
        <w:spacing w:line="560" w:lineRule="exact"/>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牢固树立绿色发展理念，开展“双减”高效技术模式集成示范，抓好农药、肥料科学使用培训。肥料使用上做到少施氮肥、稳施磷肥、增施有机肥；农药使用上要以安全、污染可控为基本原则，选用新型高效、低毒、低残留</w:t>
      </w:r>
      <w:r>
        <w:rPr>
          <w:rFonts w:hint="eastAsia" w:ascii="仿宋_GB2312" w:hAnsi="楷体" w:eastAsia="仿宋_GB2312" w:cs="仿宋_GB2312"/>
          <w:sz w:val="32"/>
          <w:szCs w:val="32"/>
          <w:lang w:val="en-US" w:eastAsia="zh-CN"/>
        </w:rPr>
        <w:t>的</w:t>
      </w:r>
      <w:r>
        <w:rPr>
          <w:rFonts w:hint="eastAsia" w:ascii="仿宋_GB2312" w:hAnsi="楷体" w:eastAsia="仿宋_GB2312" w:cs="仿宋_GB2312"/>
          <w:sz w:val="32"/>
          <w:szCs w:val="32"/>
        </w:rPr>
        <w:t>农药。有条件的地方要大力推广育秧伴侣、大豆拌种、有机肥</w:t>
      </w:r>
      <w:r>
        <w:rPr>
          <w:rFonts w:hint="eastAsia" w:ascii="仿宋_GB2312" w:hAnsi="楷体" w:eastAsia="仿宋_GB2312" w:cs="仿宋_GB2312"/>
          <w:sz w:val="32"/>
          <w:szCs w:val="32"/>
          <w:lang w:val="en-US" w:eastAsia="zh-CN"/>
        </w:rPr>
        <w:t>等</w:t>
      </w:r>
      <w:r>
        <w:rPr>
          <w:rFonts w:hint="eastAsia" w:ascii="仿宋_GB2312" w:hAnsi="楷体" w:eastAsia="仿宋_GB2312" w:cs="仿宋_GB2312"/>
          <w:sz w:val="32"/>
          <w:szCs w:val="32"/>
        </w:rPr>
        <w:t>替代化肥和生物防治、理化诱控、生态调控等高效生产技术，力争打造一批大豆玉米带状复合种植绿色高质量发展样板。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五、存在的问题</w:t>
      </w:r>
    </w:p>
    <w:p>
      <w:pPr>
        <w:spacing w:line="560" w:lineRule="exact"/>
        <w:ind w:firstLine="599" w:firstLineChars="200"/>
        <w:rPr>
          <w:rFonts w:ascii="楷体" w:hAnsi="楷体" w:eastAsia="楷体" w:cs="仿宋_GB2312"/>
          <w:b/>
          <w:bCs/>
          <w:spacing w:val="-11"/>
          <w:sz w:val="32"/>
          <w:szCs w:val="32"/>
        </w:rPr>
      </w:pPr>
      <w:r>
        <w:rPr>
          <w:rFonts w:hint="eastAsia" w:ascii="楷体" w:hAnsi="楷体" w:eastAsia="楷体" w:cs="仿宋_GB2312"/>
          <w:b/>
          <w:bCs/>
          <w:spacing w:val="-11"/>
          <w:sz w:val="32"/>
          <w:szCs w:val="32"/>
        </w:rPr>
        <w:t>（一）绩效指标设置不明晰，预算绩效管理机制不够完善</w:t>
      </w:r>
    </w:p>
    <w:p>
      <w:pPr>
        <w:spacing w:line="560" w:lineRule="exact"/>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佛坪县农技中心未建立完善涵盖绩效目标、绩效监控、绩效评价、结果反馈和应用的预算管理机制，以及相关项目动态跟踪管理机制。根据佛坪县农技中心填报的《资金绩效目标表》，项目将绩效目标细化分解为具体的绩效指标，多数指标值清晰、可衡量，且各项指标基本与项目年度任务数或计划数相对应，指标与预算确定的项目投入额或资金量较为匹配，但项目产出质量指标设置为亩产公斤数量，该指标与产出数量指标内涵更为接近，绩效指标明确性有待加强。</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（二）项目推广宣传工作有待加强</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楷体" w:eastAsia="仿宋_GB2312" w:cs="仿宋_GB2312"/>
          <w:sz w:val="32"/>
          <w:szCs w:val="32"/>
        </w:rPr>
        <w:t>根据满意度问卷调查问卷结果显示，部分农户认为不够了解补助资金的政策内容，农技中心针对2022年大豆玉米套种补助资金的宣传工作力度有待加强。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（一）完善部门预算绩效管理机制，加强绩效目标管理</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建议佛坪县农技中心按照财政部印发的《项目支出绩效评价管理办法》（财预〔2020〕10号）《陕西省财政项目支出绩效评价管理办法》（陕财办绩〔2020〕9号）文件的要求，完善涵盖绩效目标、绩效监控、绩效评价、结果反馈和应用的绩效管理机制。根据项目实施需要，结合预算绩效指标体系，对指标设置</w:t>
      </w:r>
      <w:r>
        <w:rPr>
          <w:rFonts w:hint="eastAsia" w:ascii="仿宋_GB2312" w:hAnsi="楷体" w:eastAsia="仿宋_GB2312" w:cs="楷体"/>
          <w:sz w:val="32"/>
          <w:szCs w:val="32"/>
          <w:lang w:val="en-US" w:eastAsia="zh-CN"/>
        </w:rPr>
        <w:t>进行</w:t>
      </w:r>
      <w:r>
        <w:rPr>
          <w:rFonts w:hint="eastAsia" w:ascii="仿宋_GB2312" w:hAnsi="楷体" w:eastAsia="仿宋_GB2312" w:cs="楷体"/>
          <w:sz w:val="32"/>
          <w:szCs w:val="32"/>
        </w:rPr>
        <w:t>全面规划，严格按照相关要求将主要工作从目标、结果、权重、完成时间、衡量判断标准、影响绩效计划完成因素等方面设置的绩效指标。结合项目实际情况及特点，提升绩效指标设置的质量，提高绩效指标设置的科学性、合理性，为项目后期绩效管理工作提供科学合理的标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（二）积极进行推广示范宣传工作</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楷体" w:eastAsia="仿宋_GB2312" w:cs="楷体"/>
          <w:sz w:val="32"/>
          <w:szCs w:val="32"/>
        </w:rPr>
        <w:t>首先，县农技中心应大力宣传带状复合种植的独特优势以及对畜牧业和豆制品产业发展的积极作用，将项目的设立情况以及审核结果在网站上进行公示，以便种植户了解项目更多情况；利用多种媒体渠道进行宣传，如印刷品、广播、电视、网络等。同时，积极利用社交媒体平台进行推广，通过微博、微信公众号、农村社区论坛等方式传播信息和与用户互动。</w:t>
      </w:r>
    </w:p>
    <w:p>
      <w:pPr>
        <w:jc w:val="left"/>
        <w:rPr>
          <w:rFonts w:hint="eastAsia" w:ascii="黑体" w:hAnsi="黑体" w:eastAsia="黑体" w:cs="黑体"/>
          <w:sz w:val="32"/>
          <w:szCs w:val="32"/>
          <w:highlight w:val="yellow"/>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佛坪县康养旅居服务中心改扩建项目</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我国正处于老龄化快速发展期，且在未富先老和社会保障体系不完善的情况下呈加速化、高龄化发展态势，老年人口、高龄人口的快速增长，对养老服务产生了巨大需求。为积极应对老龄化加剧、促进养老服务业快速发展，为破除发展障碍，健全市场机制，持续完善</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居家为基础、社区为依托、机构为补充、医养相结合的养老服务体系，建立健全高龄、失能老年人长期照护服务体系，有效满足老年人多样化、多层次养老服务需求，国务院办公厅出台了《关于推进养老服务发展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国办发〔2019〕5号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文件。同时，民政部印发了《关于进一步扩大养老服务供给促进养老服务消费的实施意见》（民发〔2019〕88号），提出“到2022年，力争所有城市街道至少建有一个具备综合功能的社区养老服务机构，有条件的乡镇也要积极建设具备综合功能的社区养老服务机构，社区日间照料机构覆盖率达到90%以上”。</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近年来，中央网信办高度关注支持佛坪儿童事业和养老事业发展，协调解决了中心敬老院消防设施改造资金缺口和镇村敬老服务站设施设备建设资金，全县五保供养服务设施得到了很大提升。佛坪县中心敬老院始建于2009年11月，因当时建设资金有限，规模档次较低，设施设备不健全，不能满足入住老人的安全和生活照料需求，因此佛坪县中心敬老院申报实施了“佛坪县康养旅居服务中心改扩建项目”。</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（二）资金情况</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根据《关于下达2022年中央专项彩票公益金支持社会公益事业发展专项资金的通知》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佛财办综〔2022〕38号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文件要求，2022年中央专项彩票公益金支持</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公益事业发展专项资金120万元已到位，专项用于佛坪县康养旅居服务中心改扩建项目。截至2023年7月31日，项目资金已支付115.00万元，未支付资金为暂扣的工程质量保证金。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佛坪县康养旅居服务中心改扩建项目各项工作基本按照设定的年度目标完成，符合进一步改善社会服务基础设施条件，推动</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设施规范化、标准化建设，增强兜底保障能力，提升社会服务水平的相关需求。但存在绩效评价制度不完善、成本超预算、验收投入使用进度较慢等问题。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本次绩效评价按照</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决策、过程到产出、效果和影响的绩效逻辑路径，从项目立项审批、项目管理、资金使用、组织实施、项目产出、项目社会效益、生态效益等方面对项目进行客观分析。围绕项目决策、项目过程、项目产出、项目绩效四大指标体系进行综合评分。</w:t>
      </w:r>
    </w:p>
    <w:p>
      <w:pPr>
        <w:spacing w:line="560" w:lineRule="exact"/>
        <w:ind w:firstLine="643" w:firstLineChars="200"/>
        <w:rPr>
          <w:rFonts w:ascii="仿宋_GB2312" w:hAnsi="仿宋_GB2312" w:eastAsia="仿宋_GB2312" w:cs="仿宋_GB2312"/>
          <w:b/>
          <w:bCs/>
          <w:sz w:val="32"/>
          <w:szCs w:val="32"/>
          <w:highlight w:val="yellow"/>
        </w:rPr>
      </w:pPr>
      <w:r>
        <w:rPr>
          <w:rFonts w:hint="eastAsia" w:ascii="仿宋_GB2312" w:hAnsi="仿宋_GB2312" w:eastAsia="仿宋_GB2312" w:cs="仿宋_GB2312"/>
          <w:b/>
          <w:bCs/>
          <w:sz w:val="32"/>
          <w:szCs w:val="32"/>
        </w:rPr>
        <w:t>经综合评价，本次佛坪县康养旅居服务中心改扩建项目绩效评价得分85.</w:t>
      </w:r>
      <w:r>
        <w:rPr>
          <w:rFonts w:ascii="仿宋_GB2312" w:hAnsi="仿宋_GB2312" w:eastAsia="仿宋_GB2312" w:cs="仿宋_GB2312"/>
          <w:b/>
          <w:bCs/>
          <w:sz w:val="32"/>
          <w:szCs w:val="32"/>
        </w:rPr>
        <w:t>38</w:t>
      </w:r>
      <w:r>
        <w:rPr>
          <w:rFonts w:hint="eastAsia" w:ascii="仿宋_GB2312" w:hAnsi="仿宋_GB2312" w:eastAsia="仿宋_GB2312" w:cs="仿宋_GB2312"/>
          <w:b/>
          <w:bCs/>
          <w:sz w:val="32"/>
          <w:szCs w:val="32"/>
        </w:rPr>
        <w:t>分，综合评价结果等级为“优”。</w:t>
      </w:r>
    </w:p>
    <w:p>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表2-1 </w:t>
      </w:r>
      <w:r>
        <w:rPr>
          <w:rFonts w:hint="eastAsia" w:ascii="仿宋_GB2312" w:hAnsi="仿宋_GB2312" w:eastAsia="仿宋_GB2312" w:cs="仿宋_GB2312"/>
          <w:b/>
          <w:bCs/>
          <w:sz w:val="28"/>
          <w:szCs w:val="28"/>
        </w:rPr>
        <w:t>佛坪县康养旅居服务中心改扩建项目</w:t>
      </w:r>
      <w:r>
        <w:rPr>
          <w:rFonts w:ascii="仿宋_GB2312" w:hAnsi="仿宋_GB2312" w:eastAsia="仿宋_GB2312" w:cs="仿宋_GB2312"/>
          <w:b/>
          <w:bCs/>
          <w:sz w:val="28"/>
          <w:szCs w:val="28"/>
        </w:rPr>
        <w:t>指标评分表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4"/>
        <w:gridCol w:w="2214"/>
        <w:gridCol w:w="2214"/>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20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r>
              <w:rPr>
                <w:rFonts w:hint="eastAsia" w:ascii="仿宋_GB2312" w:hAnsi="仿宋_GB2312" w:eastAsia="仿宋_GB2312" w:cs="仿宋_GB2312"/>
                <w:sz w:val="24"/>
              </w:rPr>
              <w:t>.</w:t>
            </w:r>
            <w:r>
              <w:rPr>
                <w:rFonts w:ascii="仿宋_GB2312" w:hAnsi="仿宋_GB2312" w:eastAsia="仿宋_GB2312" w:cs="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过程</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5.88</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79.40%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产出</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19.5</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效益</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30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r>
              <w:rPr>
                <w:rFonts w:hint="eastAsia" w:ascii="仿宋_GB2312" w:hAnsi="仿宋_GB2312" w:eastAsia="仿宋_GB2312" w:cs="仿宋_GB2312"/>
                <w:sz w:val="24"/>
              </w:rPr>
              <w:t>.</w:t>
            </w:r>
            <w:r>
              <w:rPr>
                <w:rFonts w:ascii="仿宋_GB2312" w:hAnsi="仿宋_GB2312" w:eastAsia="仿宋_GB2312" w:cs="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绩效评价得分：</w:t>
            </w:r>
            <w:r>
              <w:rPr>
                <w:rFonts w:ascii="仿宋_GB2312" w:hAnsi="仿宋_GB2312" w:eastAsia="仿宋_GB2312" w:cs="仿宋_GB2312"/>
                <w:b/>
                <w:bCs/>
                <w:sz w:val="24"/>
              </w:rPr>
              <w:t>85.38</w:t>
            </w:r>
            <w:r>
              <w:rPr>
                <w:rFonts w:hint="eastAsia" w:ascii="仿宋_GB2312" w:hAnsi="仿宋_GB2312" w:eastAsia="仿宋_GB2312" w:cs="仿宋_GB2312"/>
                <w:b/>
                <w:bCs/>
                <w:sz w:val="24"/>
              </w:rPr>
              <w:t xml:space="preserve">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（一）项目决策情况</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项目决策从“项目立项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绩效目标”和“资金投入”三个方面对项目进行评价，分值共计20分。康养旅居服务中心改扩建项目立项程序规范，采购实施计划合规，资金投入情况较为合理。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经综合评价，项目决策评价得分</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分，得分率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（二）项目过程情况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项目过程从“资金管理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采购信息公开性及合同履约”和“组织实施”两个方面对项目进行评价，分值共计20分。该项目政府采购程序和方式合法合规、财务管理制度健全、项目整体落实情况较好。但存在项目单位管理制度不够健全，制度有效性</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执行情况不足的问题。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经综合评价，项目过程评价得分1</w:t>
      </w:r>
      <w:r>
        <w:rPr>
          <w:rFonts w:ascii="仿宋_GB2312" w:hAnsi="仿宋_GB2312" w:eastAsia="仿宋_GB2312" w:cs="仿宋_GB2312"/>
          <w:sz w:val="32"/>
          <w:szCs w:val="32"/>
        </w:rPr>
        <w:t>5.88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得分率</w:t>
      </w:r>
      <w:r>
        <w:rPr>
          <w:rFonts w:ascii="仿宋_GB2312" w:hAnsi="仿宋_GB2312" w:eastAsia="仿宋_GB2312" w:cs="仿宋_GB2312"/>
          <w:sz w:val="32"/>
          <w:szCs w:val="32"/>
        </w:rPr>
        <w:t>79.40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（三）项目产出情况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项目产出从“产出数量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产出质量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产出时效”和“产出成本”四个方面对项目进行评价，分值共计30分。该项目政府采购完成情况及绩效目标任务完成情况较好。截至绩效评价日，项目已完成建设工程消防验收工作，项目主体仅完成初步验收</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签字，未完成最终验收工作。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经综合评价，项目产出评价得分</w:t>
      </w:r>
      <w:r>
        <w:rPr>
          <w:rFonts w:ascii="仿宋_GB2312" w:hAnsi="仿宋_GB2312" w:eastAsia="仿宋_GB2312" w:cs="仿宋_GB2312"/>
          <w:sz w:val="32"/>
          <w:szCs w:val="32"/>
        </w:rPr>
        <w:t>19.5</w:t>
      </w:r>
      <w:r>
        <w:rPr>
          <w:rFonts w:hint="eastAsia" w:ascii="仿宋_GB2312" w:hAnsi="仿宋_GB2312" w:eastAsia="仿宋_GB2312" w:cs="仿宋_GB2312"/>
          <w:sz w:val="32"/>
          <w:szCs w:val="32"/>
        </w:rPr>
        <w:t>分，得分率</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（四）项目效益情况</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项目效益从“经济效益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持续影响”和“满意度”四个方面对项目进行评价，分值共计30分。佛坪县康养旅居服务中心改扩建项目整体效益良好，通过项目的实施，进一步改善了全县养老服务基础设施条件，推动了养老设施规范化、标准化建设，持续提升了综合养老服务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经综合评价，项目效益评价得分</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分，得分率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四、存在的问题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（一）项目单位预算绩效管理制度不够完善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现场核查，佛坪县中心敬老院财务管理制度健全，但未见相关业务管理制度和部门绩效评价制度及办法。根据彩票公益金管理办法要求：各级民政、体育等彩票公益金使用部门、单位，应根据财政部门绩效评价制度和办法制定本部门绩效评价制度和办法，组织实施本部门（单位）财政项目支出绩效评价工作，指导下级部门（单位）开展绩效自评，按要求报送绩效评价结果，公开绩效评价报告，负责绩效评价问题整改落实，提交整改报告，提高彩票公益金资源配置效率和使用效益。</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（二）项目验收进度较慢，投入使用及时性较低</w:t>
      </w:r>
    </w:p>
    <w:p>
      <w:pPr>
        <w:spacing w:line="560" w:lineRule="exact"/>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根据合同约定，佛坪县康养旅居服务中心改扩建项目计划实施工期</w:t>
      </w:r>
      <w:r>
        <w:rPr>
          <w:rFonts w:hint="eastAsia" w:ascii="仿宋_GB2312" w:hAnsi="楷体" w:eastAsia="仿宋_GB2312" w:cs="仿宋_GB2312"/>
          <w:sz w:val="32"/>
          <w:szCs w:val="32"/>
          <w:lang w:val="en-US" w:eastAsia="zh-CN"/>
        </w:rPr>
        <w:t>为</w:t>
      </w:r>
      <w:r>
        <w:rPr>
          <w:rFonts w:hint="eastAsia" w:ascii="仿宋_GB2312" w:hAnsi="楷体" w:eastAsia="仿宋_GB2312" w:cs="仿宋_GB2312"/>
          <w:sz w:val="32"/>
          <w:szCs w:val="32"/>
        </w:rPr>
        <w:t>190天。项目实际开工时间为2022年8月17日，竣工初步验收时间为2023年2月28日。截至绩效评价日，项目已完成建设工程消防验收工作，项目主体仅完成初步验收</w:t>
      </w:r>
      <w:r>
        <w:rPr>
          <w:rFonts w:hint="eastAsia" w:ascii="仿宋_GB2312" w:hAnsi="楷体" w:eastAsia="仿宋_GB2312" w:cs="仿宋_GB2312"/>
          <w:sz w:val="32"/>
          <w:szCs w:val="32"/>
          <w:lang w:val="en-US" w:eastAsia="zh-CN"/>
        </w:rPr>
        <w:t>并</w:t>
      </w:r>
      <w:r>
        <w:rPr>
          <w:rFonts w:hint="eastAsia" w:ascii="仿宋_GB2312" w:hAnsi="楷体" w:eastAsia="仿宋_GB2312" w:cs="仿宋_GB2312"/>
          <w:sz w:val="32"/>
          <w:szCs w:val="32"/>
        </w:rPr>
        <w:t>签字，未完成最终验收工作，项目暂未投入使用。</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（三）项目结算价格超出预算价格</w:t>
      </w:r>
    </w:p>
    <w:p>
      <w:pPr>
        <w:spacing w:line="560" w:lineRule="exact"/>
        <w:ind w:firstLine="640" w:firstLineChars="200"/>
        <w:rPr>
          <w:rFonts w:ascii="仿宋_GB2312" w:hAnsi="楷体" w:eastAsia="仿宋_GB2312" w:cs="仿宋_GB2312"/>
          <w:sz w:val="32"/>
          <w:szCs w:val="32"/>
          <w:highlight w:val="yellow"/>
        </w:rPr>
      </w:pPr>
      <w:r>
        <w:rPr>
          <w:rFonts w:hint="eastAsia" w:ascii="仿宋_GB2312" w:hAnsi="楷体" w:eastAsia="仿宋_GB2312" w:cs="仿宋_GB2312"/>
          <w:sz w:val="32"/>
          <w:szCs w:val="32"/>
        </w:rPr>
        <w:t>经现场核查资料，项目施工合同价为110.72万元，实际结算价格为121.03万元，且未见相关工程变更签证单或者工程变更手续，项目整体造价已超出预算金额。</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五、有关建议</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（一）</w:t>
      </w:r>
      <w:r>
        <w:rPr>
          <w:rFonts w:hint="eastAsia" w:ascii="楷体" w:hAnsi="楷体" w:eastAsia="楷体" w:cs="楷体"/>
          <w:b/>
          <w:bCs/>
          <w:sz w:val="32"/>
          <w:szCs w:val="32"/>
        </w:rPr>
        <w:t>完善部门预算绩效管理机制，加强绩效监控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项目单位按照财政部印发的《项目支出绩效评价管理办法》（财预〔2020〕10号）《陕西省财政项目支出绩效评价管理办法》（陕财办绩〔2020〕9号）等文件的要求，完善涵盖绩效目标、绩效监控、绩效评价、结果反馈和应用的预算管理机制，结合项目实际情况及特点，加强预算编制环节的绩效导向，对项目的实施过程进行动态跟踪管理。</w:t>
      </w:r>
    </w:p>
    <w:p>
      <w:pPr>
        <w:spacing w:line="560" w:lineRule="exact"/>
        <w:ind w:firstLine="643" w:firstLineChars="200"/>
        <w:rPr>
          <w:rFonts w:ascii="楷体" w:hAnsi="楷体" w:eastAsia="楷体" w:cs="楷体"/>
          <w:b/>
          <w:bCs/>
          <w:sz w:val="32"/>
          <w:szCs w:val="32"/>
          <w:highlight w:val="yellow"/>
        </w:rPr>
      </w:pPr>
      <w:r>
        <w:rPr>
          <w:rFonts w:hint="eastAsia" w:ascii="楷体" w:hAnsi="楷体" w:eastAsia="楷体" w:cs="楷体"/>
          <w:b/>
          <w:bCs/>
          <w:sz w:val="32"/>
          <w:szCs w:val="32"/>
        </w:rPr>
        <w:t>（二）完善全过程管理机制，确保项目验收投入使用及时</w:t>
      </w:r>
    </w:p>
    <w:p>
      <w:pPr>
        <w:spacing w:line="560" w:lineRule="exact"/>
        <w:ind w:firstLine="640" w:firstLineChars="200"/>
        <w:rPr>
          <w:rFonts w:ascii="仿宋_GB2312" w:hAnsi="楷体" w:eastAsia="仿宋_GB2312" w:cs="楷体"/>
          <w:sz w:val="32"/>
          <w:szCs w:val="32"/>
          <w:highlight w:val="yellow"/>
        </w:rPr>
      </w:pPr>
      <w:r>
        <w:rPr>
          <w:rFonts w:hint="eastAsia" w:ascii="仿宋_GB2312" w:hAnsi="楷体" w:eastAsia="仿宋_GB2312" w:cs="楷体"/>
          <w:sz w:val="32"/>
          <w:szCs w:val="32"/>
        </w:rPr>
        <w:t>建议项目单位完善全过程管理机制，包括制定详细的项目计划、分配明确的责任和资源</w:t>
      </w:r>
      <w:r>
        <w:rPr>
          <w:rFonts w:hint="eastAsia" w:ascii="仿宋_GB2312" w:hAnsi="楷体" w:eastAsia="仿宋_GB2312" w:cs="楷体"/>
          <w:sz w:val="32"/>
          <w:szCs w:val="32"/>
          <w:lang w:val="en-US" w:eastAsia="zh-CN"/>
        </w:rPr>
        <w:t>等</w:t>
      </w:r>
      <w:r>
        <w:rPr>
          <w:rFonts w:hint="eastAsia" w:ascii="仿宋_GB2312" w:hAnsi="楷体" w:eastAsia="仿宋_GB2312" w:cs="楷体"/>
          <w:sz w:val="32"/>
          <w:szCs w:val="32"/>
        </w:rPr>
        <w:t>，建立有效的沟通渠道和信息共享机制。定期进行项目进度监控和评估，及时发现和解决可能影响项目进展的问题。统筹项目管理，推进工程管理责任制落实，加强对建设工程进度的监督检查，确保项目完工验收以及后续投入使用的及时性。</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（三）加强工程施工阶段工程造价控制与管理</w:t>
      </w:r>
    </w:p>
    <w:p>
      <w:pPr>
        <w:spacing w:line="560" w:lineRule="exact"/>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rPr>
        <w:t>项目单位应注重可行性研究、投资决策阶段工程造价的确控，切实把好源头关。可行性研究、投资决策是产生工程造价的源头，合理确定是评价建设项目、开展后续工作的关键；加强设计阶段工程造价的确控，积极推行限额设计；强化施工阶段工程造价的确控，严格设计变更和签证的管理。</w:t>
      </w:r>
    </w:p>
    <w:p>
      <w:pPr>
        <w:spacing w:line="560" w:lineRule="exact"/>
        <w:ind w:firstLine="640" w:firstLineChars="200"/>
        <w:rPr>
          <w:rFonts w:hint="eastAsia" w:ascii="仿宋_GB2312" w:hAnsi="楷体" w:eastAsia="仿宋_GB2312" w:cs="仿宋_GB2312"/>
          <w:sz w:val="32"/>
          <w:szCs w:val="32"/>
        </w:rPr>
      </w:pPr>
    </w:p>
    <w:p>
      <w:pPr>
        <w:spacing w:line="640" w:lineRule="exact"/>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2022年佛坪县市场监督管理局部门整体</w:t>
      </w:r>
    </w:p>
    <w:p>
      <w:pPr>
        <w:spacing w:line="640" w:lineRule="exact"/>
        <w:ind w:left="1349" w:hanging="720"/>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（一）部门概况</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sz w:val="32"/>
          <w:szCs w:val="32"/>
        </w:rPr>
        <w:t>佛坪县市场监督管理局是佛坪县</w:t>
      </w:r>
      <w:r>
        <w:rPr>
          <w:rFonts w:ascii="仿宋_GB2312" w:hAnsi="Times New Roman" w:eastAsia="仿宋_GB2312"/>
          <w:sz w:val="32"/>
          <w:szCs w:val="32"/>
        </w:rPr>
        <w:t>政府工作部门，为正科级。</w:t>
      </w:r>
      <w:r>
        <w:rPr>
          <w:rFonts w:hint="eastAsia" w:ascii="仿宋_GB2312" w:hAnsi="Times New Roman" w:eastAsia="仿宋_GB2312"/>
          <w:sz w:val="32"/>
          <w:szCs w:val="32"/>
        </w:rPr>
        <w:t>市场监管局贯彻落实党中央、省委、市委和县委关于市场监督管理、商务工作的方针政策和决策部署，在履行职责过程中坚持和加强党对市场监督管理、商务工作的集中统一领导。</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市场监管</w:t>
      </w:r>
      <w:r>
        <w:rPr>
          <w:rFonts w:hint="eastAsia" w:ascii="仿宋_GB2312" w:hAnsi="Times New Roman" w:eastAsia="仿宋_GB2312"/>
          <w:sz w:val="32"/>
          <w:szCs w:val="32"/>
          <w:highlight w:val="none"/>
          <w:lang w:eastAsia="zh-CN"/>
        </w:rPr>
        <w:t>总局</w:t>
      </w:r>
      <w:r>
        <w:rPr>
          <w:rFonts w:hint="eastAsia" w:ascii="仿宋_GB2312" w:hAnsi="Times New Roman" w:eastAsia="仿宋_GB2312"/>
          <w:sz w:val="32"/>
          <w:szCs w:val="32"/>
        </w:rPr>
        <w:t>下设内设机构10个，直属事业单位2个。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截至2022年12月31日，市场监管局人员编制49人，其中行政编制20人、事业编制29人；实有人员50人，其中行政28人、事业22人。管理的离退休人员19人。</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（二）部门预决算情况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根据市场监管局提供的2022年预算报表，市场监管局2022年部门收入年初预算684.61万元，调整后预算963.67万元，预算调整279.06万元；2022年部门支出年初预算684.61万元，调整后预算963.67万元，预算调整279.06万元。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根据市场监管局提供的2022年决算报表，市场监管局2022年部门收入决算</w:t>
      </w:r>
      <w:r>
        <w:rPr>
          <w:rFonts w:hint="eastAsia" w:ascii="仿宋_GB2312" w:hAnsi="Times New Roman" w:eastAsia="仿宋_GB2312"/>
          <w:sz w:val="32"/>
          <w:szCs w:val="32"/>
          <w:lang w:val="en-US" w:eastAsia="zh-CN"/>
        </w:rPr>
        <w:t>为</w:t>
      </w:r>
      <w:r>
        <w:rPr>
          <w:rFonts w:hint="eastAsia" w:ascii="仿宋_GB2312" w:hAnsi="Times New Roman" w:eastAsia="仿宋_GB2312"/>
          <w:sz w:val="32"/>
          <w:szCs w:val="32"/>
        </w:rPr>
        <w:t>963.67万元；2022年部门支出决算</w:t>
      </w:r>
      <w:r>
        <w:rPr>
          <w:rFonts w:hint="eastAsia" w:ascii="仿宋_GB2312" w:hAnsi="Times New Roman" w:eastAsia="仿宋_GB2312"/>
          <w:sz w:val="32"/>
          <w:szCs w:val="32"/>
          <w:lang w:val="en-US" w:eastAsia="zh-CN"/>
        </w:rPr>
        <w:t>为</w:t>
      </w:r>
      <w:r>
        <w:rPr>
          <w:rFonts w:hint="eastAsia" w:ascii="仿宋_GB2312" w:hAnsi="Times New Roman" w:eastAsia="仿宋_GB2312"/>
          <w:sz w:val="32"/>
          <w:szCs w:val="32"/>
        </w:rPr>
        <w:t>963.67万元。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2022年佛坪县市场监督管理局根据部门职责及年度计划，持续优化营商环境；强化市场监管公正执法与市场秩序维护；加强产品质量、特种设备监管和食品监管；市场监管局较好</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rPr>
        <w:t>完成了部门履职核心</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，取得了较好的履职效益。但在部门预算编制及执行、预算绩效管理、内控制度建设等方面仍有待提升或改进。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经综合评价，本次2022年佛坪县市场监督管理局部门整体绩效评价最终得分</w:t>
      </w:r>
      <w:r>
        <w:rPr>
          <w:rFonts w:hint="eastAsia" w:ascii="仿宋_GB2312" w:hAnsi="仿宋_GB2312" w:eastAsia="仿宋_GB2312" w:cs="仿宋_GB2312"/>
          <w:b/>
          <w:sz w:val="32"/>
          <w:szCs w:val="32"/>
          <w:lang w:val="en-US" w:eastAsia="zh-CN"/>
        </w:rPr>
        <w:t>为</w:t>
      </w:r>
      <w:r>
        <w:rPr>
          <w:rFonts w:ascii="仿宋_GB2312" w:hAnsi="仿宋_GB2312" w:eastAsia="仿宋_GB2312" w:cs="仿宋_GB2312"/>
          <w:b/>
          <w:sz w:val="32"/>
          <w:szCs w:val="32"/>
        </w:rPr>
        <w:t>93.56</w:t>
      </w:r>
      <w:r>
        <w:rPr>
          <w:rFonts w:hint="eastAsia" w:ascii="仿宋_GB2312" w:hAnsi="仿宋_GB2312" w:eastAsia="仿宋_GB2312" w:cs="仿宋_GB2312"/>
          <w:b/>
          <w:sz w:val="32"/>
          <w:szCs w:val="32"/>
        </w:rPr>
        <w:t>分，综合评价结果等级为“优”。</w:t>
      </w:r>
    </w:p>
    <w:p>
      <w:pPr>
        <w:jc w:val="center"/>
        <w:rPr>
          <w:rFonts w:ascii="仿宋_GB2312" w:hAnsi="黑体" w:eastAsia="仿宋_GB2312"/>
          <w:b/>
          <w:sz w:val="28"/>
          <w:szCs w:val="28"/>
        </w:rPr>
      </w:pPr>
      <w:r>
        <w:rPr>
          <w:rFonts w:ascii="仿宋_GB2312" w:hAnsi="黑体" w:eastAsia="仿宋_GB2312"/>
          <w:b/>
          <w:sz w:val="28"/>
          <w:szCs w:val="28"/>
        </w:rPr>
        <w:t>表3-1</w:t>
      </w:r>
      <w:r>
        <w:rPr>
          <w:rFonts w:hint="eastAsia" w:ascii="仿宋_GB2312" w:hAnsi="黑体" w:eastAsia="仿宋_GB2312"/>
          <w:b/>
          <w:sz w:val="28"/>
          <w:szCs w:val="28"/>
        </w:rPr>
        <w:t xml:space="preserve"> 2022年佛坪县市场监督管理局部门整体</w:t>
      </w:r>
      <w:r>
        <w:rPr>
          <w:rFonts w:ascii="仿宋_GB2312" w:hAnsi="黑体" w:eastAsia="仿宋_GB2312"/>
          <w:b/>
          <w:sz w:val="28"/>
          <w:szCs w:val="28"/>
        </w:rPr>
        <w:t>指标评分表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213"/>
        <w:gridCol w:w="22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部门决策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sz w:val="24"/>
              </w:rPr>
              <w:t>16</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sz w:val="24"/>
              </w:rPr>
              <w:t>12.30</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sz w:val="24"/>
              </w:rPr>
              <w:t>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部门管理</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sz w:val="24"/>
              </w:rPr>
              <w:t>2</w:t>
            </w:r>
            <w:r>
              <w:rPr>
                <w:rFonts w:ascii="仿宋_GB2312" w:hAnsi="仿宋_GB2312" w:eastAsia="仿宋_GB2312"/>
                <w:sz w:val="24"/>
              </w:rPr>
              <w:t>6</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sz w:val="24"/>
              </w:rPr>
              <w:t>23.82</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sz w:val="24"/>
              </w:rPr>
              <w:t>91.62</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部门履职</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sz w:val="24"/>
              </w:rPr>
              <w:t>33</w:t>
            </w:r>
          </w:p>
        </w:tc>
        <w:tc>
          <w:tcPr>
            <w:tcW w:w="1249" w:type="pct"/>
            <w:tcMar>
              <w:top w:w="10" w:type="dxa"/>
              <w:left w:w="10" w:type="dxa"/>
              <w:bottom w:w="0" w:type="dxa"/>
              <w:right w:w="10" w:type="dxa"/>
            </w:tcMar>
            <w:vAlign w:val="center"/>
          </w:tcPr>
          <w:p>
            <w:pPr>
              <w:jc w:val="center"/>
              <w:rPr>
                <w:rFonts w:ascii="仿宋_GB2312" w:hAnsi="仿宋_GB2312" w:eastAsia="仿宋_GB2312"/>
                <w:sz w:val="24"/>
              </w:rPr>
            </w:pPr>
            <w:r>
              <w:rPr>
                <w:rFonts w:ascii="仿宋_GB2312" w:hAnsi="仿宋_GB2312" w:eastAsia="仿宋_GB2312"/>
                <w:sz w:val="24"/>
              </w:rPr>
              <w:t>32.74</w:t>
            </w:r>
          </w:p>
        </w:tc>
        <w:tc>
          <w:tcPr>
            <w:tcW w:w="1253" w:type="pct"/>
            <w:tcMar>
              <w:top w:w="10" w:type="dxa"/>
              <w:left w:w="10" w:type="dxa"/>
              <w:bottom w:w="0" w:type="dxa"/>
              <w:right w:w="10" w:type="dxa"/>
            </w:tcMar>
            <w:vAlign w:val="center"/>
          </w:tcPr>
          <w:p>
            <w:pPr>
              <w:jc w:val="center"/>
              <w:rPr>
                <w:rFonts w:ascii="仿宋_GB2312" w:hAnsi="仿宋_GB2312" w:eastAsia="仿宋_GB2312"/>
                <w:sz w:val="24"/>
              </w:rPr>
            </w:pPr>
            <w:r>
              <w:rPr>
                <w:rFonts w:ascii="仿宋_GB2312" w:hAnsi="仿宋_GB2312" w:eastAsia="仿宋_GB2312"/>
                <w:sz w:val="24"/>
              </w:rPr>
              <w:t>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履职效益</w:t>
            </w:r>
          </w:p>
        </w:tc>
        <w:tc>
          <w:tcPr>
            <w:tcW w:w="1249" w:type="pct"/>
            <w:tcMar>
              <w:top w:w="10" w:type="dxa"/>
              <w:left w:w="10" w:type="dxa"/>
              <w:bottom w:w="0" w:type="dxa"/>
              <w:right w:w="10" w:type="dxa"/>
            </w:tcMar>
            <w:vAlign w:val="center"/>
          </w:tcPr>
          <w:p>
            <w:pPr>
              <w:jc w:val="center"/>
              <w:rPr>
                <w:rFonts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5</w:t>
            </w:r>
          </w:p>
        </w:tc>
        <w:tc>
          <w:tcPr>
            <w:tcW w:w="1249" w:type="pct"/>
            <w:tcMar>
              <w:top w:w="10" w:type="dxa"/>
              <w:left w:w="10" w:type="dxa"/>
              <w:bottom w:w="0" w:type="dxa"/>
              <w:right w:w="10" w:type="dxa"/>
            </w:tcMar>
            <w:vAlign w:val="center"/>
          </w:tcPr>
          <w:p>
            <w:pPr>
              <w:jc w:val="center"/>
              <w:rPr>
                <w:rFonts w:ascii="仿宋_GB2312" w:hAnsi="仿宋_GB2312" w:eastAsia="仿宋_GB2312"/>
                <w:sz w:val="24"/>
              </w:rPr>
            </w:pPr>
            <w:r>
              <w:rPr>
                <w:rFonts w:ascii="仿宋_GB2312" w:hAnsi="仿宋_GB2312" w:eastAsia="仿宋_GB2312"/>
                <w:sz w:val="24"/>
              </w:rPr>
              <w:t>24.70</w:t>
            </w:r>
          </w:p>
        </w:tc>
        <w:tc>
          <w:tcPr>
            <w:tcW w:w="1253" w:type="pct"/>
            <w:tcMar>
              <w:top w:w="10" w:type="dxa"/>
              <w:left w:w="10" w:type="dxa"/>
              <w:bottom w:w="0" w:type="dxa"/>
              <w:right w:w="10" w:type="dxa"/>
            </w:tcMar>
            <w:vAlign w:val="center"/>
          </w:tcPr>
          <w:p>
            <w:pPr>
              <w:jc w:val="center"/>
              <w:rPr>
                <w:rFonts w:ascii="仿宋_GB2312" w:hAnsi="仿宋_GB2312" w:eastAsia="仿宋_GB2312"/>
                <w:sz w:val="24"/>
              </w:rPr>
            </w:pPr>
            <w:r>
              <w:rPr>
                <w:rFonts w:hint="eastAsia" w:ascii="仿宋_GB2312" w:hAnsi="仿宋_GB2312" w:eastAsia="仿宋_GB2312"/>
                <w:sz w:val="24"/>
              </w:rPr>
              <w:t>9</w:t>
            </w:r>
            <w:r>
              <w:rPr>
                <w:rFonts w:ascii="仿宋_GB2312" w:hAnsi="仿宋_GB2312" w:eastAsia="仿宋_GB2312"/>
                <w:sz w:val="24"/>
              </w:rPr>
              <w:t>8.80</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绩效评价得分：</w:t>
            </w:r>
            <w:r>
              <w:rPr>
                <w:rFonts w:ascii="仿宋_GB2312" w:hAnsi="仿宋_GB2312" w:eastAsia="仿宋_GB2312" w:cs="仿宋_GB2312"/>
                <w:b/>
                <w:bCs/>
                <w:sz w:val="24"/>
              </w:rPr>
              <w:t>93.56</w:t>
            </w:r>
            <w:r>
              <w:rPr>
                <w:rFonts w:hint="eastAsia" w:ascii="仿宋_GB2312" w:hAnsi="仿宋_GB2312" w:eastAsia="仿宋_GB2312" w:cs="仿宋_GB2312"/>
                <w:b/>
                <w:bCs/>
                <w:sz w:val="24"/>
              </w:rPr>
              <w:t xml:space="preserve">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（一）部门决策情况</w:t>
      </w:r>
    </w:p>
    <w:p>
      <w:pPr>
        <w:spacing w:line="560" w:lineRule="exact"/>
        <w:ind w:firstLine="707" w:firstLineChars="221"/>
        <w:rPr>
          <w:rFonts w:ascii="仿宋_GB2312" w:hAnsi="Times New Roman" w:eastAsia="仿宋_GB2312"/>
          <w:sz w:val="32"/>
          <w:szCs w:val="32"/>
        </w:rPr>
      </w:pPr>
      <w:r>
        <w:rPr>
          <w:rFonts w:hint="eastAsia" w:ascii="仿宋_GB2312" w:hAnsi="Times New Roman" w:eastAsia="仿宋_GB2312"/>
          <w:sz w:val="32"/>
          <w:szCs w:val="32"/>
        </w:rPr>
        <w:t>部门决策从“部门规划”“目标管理”和“预算配置”三个方面进行评价，分值共计16分。</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市场监管局年度工作计划制定</w:t>
      </w:r>
      <w:r>
        <w:rPr>
          <w:rFonts w:hint="eastAsia" w:ascii="仿宋_GB2312" w:hAnsi="Times New Roman" w:eastAsia="仿宋_GB2312"/>
          <w:sz w:val="32"/>
          <w:szCs w:val="32"/>
          <w:lang w:val="en-US" w:eastAsia="zh-CN"/>
        </w:rPr>
        <w:t>得比</w:t>
      </w:r>
      <w:r>
        <w:rPr>
          <w:rFonts w:hint="eastAsia" w:ascii="仿宋_GB2312" w:hAnsi="Times New Roman" w:eastAsia="仿宋_GB2312"/>
          <w:sz w:val="32"/>
          <w:szCs w:val="32"/>
        </w:rPr>
        <w:t>较完善，并能分解为各项目标任务。但在部门规划、绩效目标和指标制定方面有待提高。在预算配置中预算编制精确性有待提高，人员控制率有待降低。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经综合评价，部门决策实际得分12.30分，得分率76.88%。</w:t>
      </w:r>
    </w:p>
    <w:p>
      <w:pPr>
        <w:spacing w:line="560" w:lineRule="exact"/>
        <w:ind w:firstLine="643" w:firstLineChars="200"/>
        <w:rPr>
          <w:rFonts w:ascii="楷体" w:hAnsi="楷体" w:eastAsia="楷体" w:cs="仿宋_GB2312"/>
          <w:b/>
          <w:sz w:val="32"/>
          <w:szCs w:val="32"/>
        </w:rPr>
      </w:pPr>
      <w:r>
        <w:rPr>
          <w:rFonts w:ascii="楷体" w:hAnsi="楷体" w:eastAsia="楷体" w:cs="仿宋_GB2312"/>
          <w:b/>
          <w:sz w:val="32"/>
          <w:szCs w:val="32"/>
        </w:rPr>
        <w:t>（二）</w:t>
      </w:r>
      <w:r>
        <w:rPr>
          <w:rFonts w:hint="eastAsia" w:ascii="楷体" w:hAnsi="楷体" w:eastAsia="楷体" w:cs="仿宋_GB2312"/>
          <w:b/>
          <w:sz w:val="32"/>
          <w:szCs w:val="32"/>
        </w:rPr>
        <w:t>部门管理</w:t>
      </w:r>
      <w:r>
        <w:rPr>
          <w:rFonts w:ascii="楷体" w:hAnsi="楷体" w:eastAsia="楷体" w:cs="仿宋_GB2312"/>
          <w:b/>
          <w:sz w:val="32"/>
          <w:szCs w:val="32"/>
        </w:rPr>
        <w:t>情况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部门管理从“预算执行”“预算管理”和“资产管理”三个方面对项目进行评价，分值共计26分。</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市场监管</w:t>
      </w:r>
      <w:r>
        <w:rPr>
          <w:rFonts w:hint="eastAsia" w:ascii="仿宋_GB2312" w:hAnsi="Times New Roman" w:eastAsia="仿宋_GB2312"/>
          <w:sz w:val="32"/>
          <w:szCs w:val="32"/>
          <w:highlight w:val="none"/>
        </w:rPr>
        <w:t>局</w:t>
      </w:r>
      <w:r>
        <w:rPr>
          <w:rFonts w:hint="eastAsia" w:ascii="仿宋_GB2312" w:hAnsi="Times New Roman" w:eastAsia="仿宋_GB2312"/>
          <w:sz w:val="32"/>
          <w:szCs w:val="32"/>
        </w:rPr>
        <w:t>部门管理指标大部分完成较好，但在管理制度健全性、预算调整率指标方面尚需加强和完善。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经综合评价，部门管理实际得分23.82分，得分率91.62%。</w:t>
      </w:r>
    </w:p>
    <w:p>
      <w:pPr>
        <w:spacing w:line="560" w:lineRule="exact"/>
        <w:ind w:firstLine="643" w:firstLineChars="200"/>
        <w:rPr>
          <w:rFonts w:ascii="楷体" w:hAnsi="楷体" w:eastAsia="楷体" w:cs="仿宋_GB2312"/>
          <w:b/>
          <w:sz w:val="32"/>
          <w:szCs w:val="32"/>
        </w:rPr>
      </w:pPr>
      <w:r>
        <w:rPr>
          <w:rFonts w:ascii="楷体" w:hAnsi="楷体" w:eastAsia="楷体" w:cs="仿宋_GB2312"/>
          <w:b/>
          <w:sz w:val="32"/>
          <w:szCs w:val="32"/>
        </w:rPr>
        <w:t>（三）</w:t>
      </w:r>
      <w:r>
        <w:rPr>
          <w:rFonts w:hint="eastAsia" w:ascii="楷体" w:hAnsi="楷体" w:eastAsia="楷体" w:cs="仿宋_GB2312"/>
          <w:b/>
          <w:sz w:val="32"/>
          <w:szCs w:val="32"/>
        </w:rPr>
        <w:t>部</w:t>
      </w:r>
      <w:r>
        <w:rPr>
          <w:rFonts w:ascii="楷体" w:hAnsi="楷体" w:eastAsia="楷体" w:cs="仿宋_GB2312"/>
          <w:b/>
          <w:sz w:val="32"/>
          <w:szCs w:val="32"/>
        </w:rPr>
        <w:t>门履职情况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部门履职从“营商环境优化”“市场监管执法与市场秩序维护”“特种设备、产品质量检验检测监管”“食品监管”“‘两品一械’监管”和“知识产权管理”六个方面进行评价，分值共计33分。</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市场监管</w:t>
      </w:r>
      <w:r>
        <w:rPr>
          <w:rFonts w:hint="eastAsia" w:ascii="仿宋_GB2312" w:hAnsi="Times New Roman" w:eastAsia="仿宋_GB2312"/>
          <w:sz w:val="32"/>
          <w:szCs w:val="32"/>
          <w:highlight w:val="none"/>
        </w:rPr>
        <w:t>局</w:t>
      </w:r>
      <w:r>
        <w:rPr>
          <w:rFonts w:hint="eastAsia" w:ascii="仿宋_GB2312" w:hAnsi="Times New Roman" w:eastAsia="仿宋_GB2312"/>
          <w:sz w:val="32"/>
          <w:szCs w:val="32"/>
        </w:rPr>
        <w:t>部门履职方面能较好</w:t>
      </w:r>
      <w:r>
        <w:rPr>
          <w:rFonts w:hint="eastAsia" w:ascii="仿宋_GB2312" w:hAnsi="Times New Roman" w:eastAsia="仿宋_GB2312"/>
          <w:sz w:val="32"/>
          <w:szCs w:val="32"/>
          <w:highlight w:val="none"/>
        </w:rPr>
        <w:t>的</w:t>
      </w:r>
      <w:r>
        <w:rPr>
          <w:rFonts w:hint="eastAsia" w:ascii="仿宋_GB2312" w:hAnsi="Times New Roman" w:eastAsia="仿宋_GB2312"/>
          <w:sz w:val="32"/>
          <w:szCs w:val="32"/>
        </w:rPr>
        <w:t>完成绩效目标任务，但在产品质量检验检测工作开展批次指标方面需要加强和提升。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经综合评价，部门实际履职得分32.74分，得分率99.21%。</w:t>
      </w:r>
    </w:p>
    <w:p>
      <w:pPr>
        <w:spacing w:line="560" w:lineRule="exact"/>
        <w:ind w:firstLine="643" w:firstLineChars="200"/>
        <w:rPr>
          <w:rFonts w:ascii="楷体" w:hAnsi="楷体" w:eastAsia="楷体" w:cs="仿宋_GB2312"/>
          <w:b/>
          <w:sz w:val="32"/>
          <w:szCs w:val="32"/>
        </w:rPr>
      </w:pPr>
      <w:r>
        <w:rPr>
          <w:rFonts w:ascii="楷体" w:hAnsi="楷体" w:eastAsia="楷体" w:cs="仿宋_GB2312"/>
          <w:b/>
          <w:sz w:val="32"/>
          <w:szCs w:val="32"/>
        </w:rPr>
        <w:t>（四）</w:t>
      </w:r>
      <w:r>
        <w:rPr>
          <w:rFonts w:hint="eastAsia" w:ascii="楷体" w:hAnsi="楷体" w:eastAsia="楷体" w:cs="仿宋_GB2312"/>
          <w:b/>
          <w:sz w:val="32"/>
          <w:szCs w:val="32"/>
        </w:rPr>
        <w:t>履职</w:t>
      </w:r>
      <w:r>
        <w:rPr>
          <w:rFonts w:ascii="楷体" w:hAnsi="楷体" w:eastAsia="楷体" w:cs="仿宋_GB2312"/>
          <w:b/>
          <w:sz w:val="32"/>
          <w:szCs w:val="32"/>
        </w:rPr>
        <w:t>效益情况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履职效益从“经济效益”“社会效益”“可持续影响”和“社会满意度”四个方面进行评价，分值共计25分。</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市场监管局履职效益方面，经济效益、社会效益和可持续影响方面指标完成较好。社会公众和服务对象满意度方面有待提升。</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sz w:val="32"/>
          <w:szCs w:val="32"/>
        </w:rPr>
        <w:t>经综合评价，履职效益实际得分24.</w:t>
      </w:r>
      <w:r>
        <w:rPr>
          <w:rFonts w:ascii="仿宋_GB2312" w:hAnsi="Times New Roman" w:eastAsia="仿宋_GB2312"/>
          <w:sz w:val="32"/>
          <w:szCs w:val="32"/>
        </w:rPr>
        <w:t>70</w:t>
      </w:r>
      <w:r>
        <w:rPr>
          <w:rFonts w:hint="eastAsia" w:ascii="仿宋_GB2312" w:hAnsi="Times New Roman" w:eastAsia="仿宋_GB2312"/>
          <w:sz w:val="32"/>
          <w:szCs w:val="32"/>
        </w:rPr>
        <w:t>分，得分率98</w:t>
      </w:r>
      <w:r>
        <w:rPr>
          <w:rFonts w:ascii="仿宋_GB2312" w:hAnsi="Times New Roman" w:eastAsia="仿宋_GB2312"/>
          <w:sz w:val="32"/>
          <w:szCs w:val="32"/>
        </w:rPr>
        <w:t>.80</w:t>
      </w:r>
      <w:r>
        <w:rPr>
          <w:rFonts w:hint="eastAsia" w:ascii="仿宋_GB2312" w:hAnsi="Times New Roman" w:eastAsia="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四、主要经验及做法</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（一）深化商事制度改革</w:t>
      </w:r>
    </w:p>
    <w:p>
      <w:pPr>
        <w:spacing w:line="560" w:lineRule="exact"/>
        <w:ind w:firstLine="707" w:firstLineChars="221"/>
        <w:rPr>
          <w:rFonts w:ascii="仿宋_GB2312" w:hAnsi="Times New Roman" w:eastAsia="仿宋_GB2312"/>
          <w:sz w:val="32"/>
          <w:szCs w:val="32"/>
        </w:rPr>
      </w:pPr>
      <w:r>
        <w:rPr>
          <w:rFonts w:hint="eastAsia" w:ascii="仿宋_GB2312" w:hAnsi="Times New Roman" w:eastAsia="仿宋_GB2312"/>
          <w:sz w:val="32"/>
          <w:szCs w:val="32"/>
        </w:rPr>
        <w:t>牵头推进部门联合“双随机、一公开”监管。印发《关于印发佛坪县2022年度县级部门“双随机、一公开”抽查计划的通知》等文件，制定抽查计划，部署推进2022年度“双随机、一公开”监管有关工作。全县在陕西省“双随机、一公开”监管平台维护检查人员名录库221人，建立联合抽查事项28项，建立检查对象名录库91个。</w:t>
      </w:r>
    </w:p>
    <w:p>
      <w:pPr>
        <w:spacing w:line="560" w:lineRule="exact"/>
        <w:ind w:firstLine="643" w:firstLineChars="200"/>
        <w:rPr>
          <w:rFonts w:ascii="楷体" w:hAnsi="楷体" w:eastAsia="楷体" w:cs="仿宋_GB2312"/>
          <w:b/>
          <w:sz w:val="32"/>
          <w:szCs w:val="32"/>
        </w:rPr>
      </w:pPr>
      <w:r>
        <w:rPr>
          <w:rFonts w:ascii="楷体" w:hAnsi="楷体" w:eastAsia="楷体" w:cs="仿宋_GB2312"/>
          <w:b/>
          <w:sz w:val="32"/>
          <w:szCs w:val="32"/>
        </w:rPr>
        <w:t>（二）</w:t>
      </w:r>
      <w:r>
        <w:rPr>
          <w:rFonts w:hint="eastAsia" w:ascii="楷体" w:hAnsi="楷体" w:eastAsia="楷体" w:cs="仿宋_GB2312"/>
          <w:b/>
          <w:sz w:val="32"/>
          <w:szCs w:val="32"/>
        </w:rPr>
        <w:t>加强食品、药化、特种设备监管</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1. 加强食品安全监管</w:t>
      </w:r>
    </w:p>
    <w:p>
      <w:pPr>
        <w:spacing w:line="560" w:lineRule="exact"/>
        <w:ind w:firstLine="707" w:firstLineChars="221"/>
        <w:rPr>
          <w:rFonts w:ascii="仿宋_GB2312" w:hAnsi="Times New Roman" w:eastAsia="仿宋_GB2312"/>
          <w:bCs/>
          <w:sz w:val="32"/>
          <w:szCs w:val="32"/>
        </w:rPr>
      </w:pPr>
      <w:r>
        <w:rPr>
          <w:rFonts w:hint="eastAsia" w:ascii="仿宋_GB2312" w:hAnsi="Times New Roman" w:eastAsia="仿宋_GB2312"/>
          <w:bCs/>
          <w:sz w:val="32"/>
          <w:szCs w:val="32"/>
        </w:rPr>
        <w:t>认真贯彻落实习近平总书记“四个最严”要求，以开展食品安全“守查保”专项行动和切实解决食品领域群众反映强烈突出问题为抓手，围绕与群众生活息息相关的熟食卤肉及制品、豆腐豆芽、“五毛食品”等重点品种和夜市、早市、校园周边等重点区域，按照重点检查原则，开展学校、养老机构、农村家宴、肉制品小作坊等专项整治行动，推动解决突出问题，全力保障大众消费食品安全。</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2.加强药品、化妆品和医疗器械监管</w:t>
      </w:r>
    </w:p>
    <w:p>
      <w:pPr>
        <w:spacing w:line="560" w:lineRule="exact"/>
        <w:ind w:firstLine="707" w:firstLineChars="221"/>
        <w:rPr>
          <w:rFonts w:ascii="仿宋_GB2312" w:hAnsi="Times New Roman" w:eastAsia="仿宋_GB2312"/>
          <w:bCs/>
          <w:sz w:val="32"/>
          <w:szCs w:val="32"/>
        </w:rPr>
      </w:pPr>
      <w:r>
        <w:rPr>
          <w:rFonts w:hint="eastAsia" w:ascii="仿宋_GB2312" w:hAnsi="Times New Roman" w:eastAsia="仿宋_GB2312"/>
          <w:bCs/>
          <w:sz w:val="32"/>
          <w:szCs w:val="32"/>
        </w:rPr>
        <w:t>依据《关于印发汉中市2022年药品抽检工作实施方案的通知》（汉市监函</w:t>
      </w:r>
      <w:r>
        <w:rPr>
          <w:rFonts w:hint="eastAsia" w:ascii="仿宋_GB2312" w:hAnsi="Times New Roman" w:eastAsia="仿宋_GB2312"/>
          <w:bCs/>
          <w:sz w:val="32"/>
          <w:szCs w:val="32"/>
          <w:highlight w:val="none"/>
        </w:rPr>
        <w:t>[</w:t>
      </w:r>
      <w:r>
        <w:rPr>
          <w:rFonts w:hint="eastAsia" w:ascii="仿宋_GB2312" w:hAnsi="Times New Roman" w:eastAsia="仿宋_GB2312"/>
          <w:bCs/>
          <w:sz w:val="32"/>
          <w:szCs w:val="32"/>
        </w:rPr>
        <w:t>2022</w:t>
      </w:r>
      <w:r>
        <w:rPr>
          <w:rFonts w:hint="eastAsia" w:ascii="仿宋_GB2312" w:hAnsi="Times New Roman" w:eastAsia="仿宋_GB2312"/>
          <w:bCs/>
          <w:sz w:val="32"/>
          <w:szCs w:val="32"/>
          <w:highlight w:val="none"/>
        </w:rPr>
        <w:t>]</w:t>
      </w:r>
      <w:r>
        <w:rPr>
          <w:rFonts w:hint="eastAsia" w:ascii="仿宋_GB2312" w:hAnsi="Times New Roman" w:eastAsia="仿宋_GB2312"/>
          <w:bCs/>
          <w:sz w:val="32"/>
          <w:szCs w:val="32"/>
        </w:rPr>
        <w:t>161号）《关于开展2022年医疗器械抽检工作的通知》（汉市监函</w:t>
      </w:r>
      <w:r>
        <w:rPr>
          <w:rFonts w:hint="eastAsia" w:ascii="仿宋_GB2312" w:hAnsi="Times New Roman" w:eastAsia="仿宋_GB2312"/>
          <w:bCs/>
          <w:sz w:val="32"/>
          <w:szCs w:val="32"/>
          <w:highlight w:val="none"/>
        </w:rPr>
        <w:t>[</w:t>
      </w:r>
      <w:r>
        <w:rPr>
          <w:rFonts w:hint="eastAsia" w:ascii="仿宋_GB2312" w:hAnsi="Times New Roman" w:eastAsia="仿宋_GB2312"/>
          <w:bCs/>
          <w:sz w:val="32"/>
          <w:szCs w:val="32"/>
        </w:rPr>
        <w:t>2022</w:t>
      </w:r>
      <w:r>
        <w:rPr>
          <w:rFonts w:hint="eastAsia" w:ascii="仿宋_GB2312" w:hAnsi="Times New Roman" w:eastAsia="仿宋_GB2312"/>
          <w:bCs/>
          <w:sz w:val="32"/>
          <w:szCs w:val="32"/>
          <w:highlight w:val="none"/>
        </w:rPr>
        <w:t>]</w:t>
      </w:r>
      <w:r>
        <w:rPr>
          <w:rFonts w:hint="eastAsia" w:ascii="仿宋_GB2312" w:hAnsi="Times New Roman" w:eastAsia="仿宋_GB2312"/>
          <w:bCs/>
          <w:sz w:val="32"/>
          <w:szCs w:val="32"/>
        </w:rPr>
        <w:t>157号）《关于切实加强疫情</w:t>
      </w:r>
      <w:r>
        <w:rPr>
          <w:rFonts w:hint="eastAsia" w:ascii="仿宋_GB2312" w:hAnsi="Times New Roman" w:eastAsia="仿宋_GB2312"/>
          <w:bCs/>
          <w:sz w:val="32"/>
          <w:szCs w:val="32"/>
          <w:lang w:val="en-US" w:eastAsia="zh-CN"/>
        </w:rPr>
        <w:t>防控</w:t>
      </w:r>
      <w:r>
        <w:rPr>
          <w:rFonts w:hint="eastAsia" w:ascii="仿宋_GB2312" w:hAnsi="Times New Roman" w:eastAsia="仿宋_GB2312"/>
          <w:bCs/>
          <w:sz w:val="32"/>
          <w:szCs w:val="32"/>
        </w:rPr>
        <w:t>期间防疫用品和生活必需品监管的通知》（汉市监发</w:t>
      </w:r>
      <w:r>
        <w:rPr>
          <w:rFonts w:hint="eastAsia" w:ascii="仿宋_GB2312" w:hAnsi="Times New Roman" w:eastAsia="仿宋_GB2312"/>
          <w:bCs/>
          <w:sz w:val="32"/>
          <w:szCs w:val="32"/>
          <w:highlight w:val="none"/>
        </w:rPr>
        <w:t>[</w:t>
      </w:r>
      <w:r>
        <w:rPr>
          <w:rFonts w:hint="eastAsia" w:ascii="仿宋_GB2312" w:hAnsi="Times New Roman" w:eastAsia="仿宋_GB2312"/>
          <w:bCs/>
          <w:sz w:val="32"/>
          <w:szCs w:val="32"/>
        </w:rPr>
        <w:t>2022</w:t>
      </w:r>
      <w:r>
        <w:rPr>
          <w:rFonts w:hint="eastAsia" w:ascii="仿宋_GB2312" w:hAnsi="Times New Roman" w:eastAsia="仿宋_GB2312"/>
          <w:bCs/>
          <w:sz w:val="32"/>
          <w:szCs w:val="32"/>
          <w:highlight w:val="none"/>
        </w:rPr>
        <w:t>]</w:t>
      </w:r>
      <w:r>
        <w:rPr>
          <w:rFonts w:hint="eastAsia" w:ascii="仿宋_GB2312" w:hAnsi="Times New Roman" w:eastAsia="仿宋_GB2312"/>
          <w:bCs/>
          <w:sz w:val="32"/>
          <w:szCs w:val="32"/>
        </w:rPr>
        <w:t>1号）等工作通知，出动执法人员，排查各类经营主体。</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3.加强特种</w:t>
      </w:r>
      <w:r>
        <w:rPr>
          <w:rFonts w:hint="eastAsia" w:ascii="仿宋_GB2312" w:hAnsi="Times New Roman" w:eastAsia="仿宋_GB2312"/>
          <w:b/>
          <w:sz w:val="32"/>
          <w:szCs w:val="32"/>
          <w:lang w:val="en-US" w:eastAsia="zh-CN"/>
        </w:rPr>
        <w:t>设备</w:t>
      </w:r>
      <w:r>
        <w:rPr>
          <w:rFonts w:hint="eastAsia" w:ascii="仿宋_GB2312" w:hAnsi="Times New Roman" w:eastAsia="仿宋_GB2312"/>
          <w:b/>
          <w:sz w:val="32"/>
          <w:szCs w:val="32"/>
        </w:rPr>
        <w:t>安全监管</w:t>
      </w:r>
    </w:p>
    <w:p>
      <w:pPr>
        <w:spacing w:line="560" w:lineRule="exact"/>
        <w:ind w:firstLine="707" w:firstLineChars="221"/>
        <w:rPr>
          <w:rFonts w:ascii="仿宋_GB2312" w:hAnsi="仿宋_GB2312" w:eastAsia="仿宋_GB2312" w:cs="仿宋_GB2312"/>
          <w:bCs/>
          <w:color w:val="000000"/>
          <w:sz w:val="32"/>
          <w:szCs w:val="32"/>
        </w:rPr>
      </w:pPr>
      <w:r>
        <w:rPr>
          <w:rFonts w:hint="eastAsia" w:ascii="仿宋_GB2312" w:hAnsi="Times New Roman" w:eastAsia="仿宋_GB2312"/>
          <w:bCs/>
          <w:sz w:val="32"/>
          <w:szCs w:val="32"/>
        </w:rPr>
        <w:t>制定印发《关于印发佛坪县特种设备安全生产百日行动工作方案的通知》《开展电梯锅炉压力管道等特种设备安全专项整治实施方案》《2022年特种设备“安全生产月”和“安全生产万里行”活动方案》等文件，组织实施了城镇燃气安全、锅炉安全、电梯安全等专项整治</w:t>
      </w:r>
      <w:r>
        <w:rPr>
          <w:rFonts w:hint="eastAsia" w:ascii="仿宋_GB2312" w:hAnsi="仿宋_GB2312" w:eastAsia="仿宋_GB2312" w:cs="仿宋_GB2312"/>
          <w:bCs/>
          <w:color w:val="00000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存在的问题及原因分析</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（一）部门管理方面</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1.部门中长期规划需要进一步明确和细化</w:t>
      </w:r>
    </w:p>
    <w:p>
      <w:pPr>
        <w:spacing w:line="560" w:lineRule="exact"/>
        <w:ind w:firstLine="707" w:firstLineChars="221"/>
        <w:rPr>
          <w:rFonts w:ascii="仿宋_GB2312" w:hAnsi="Times New Roman" w:eastAsia="仿宋_GB2312"/>
          <w:bCs/>
          <w:sz w:val="32"/>
          <w:szCs w:val="32"/>
        </w:rPr>
      </w:pPr>
      <w:r>
        <w:rPr>
          <w:rFonts w:hint="eastAsia" w:ascii="仿宋_GB2312" w:hAnsi="Times New Roman" w:eastAsia="仿宋_GB2312"/>
          <w:bCs/>
          <w:sz w:val="32"/>
          <w:szCs w:val="32"/>
        </w:rPr>
        <w:t>市场监管</w:t>
      </w:r>
      <w:r>
        <w:rPr>
          <w:rFonts w:hint="eastAsia" w:ascii="仿宋_GB2312" w:hAnsi="Times New Roman" w:eastAsia="仿宋_GB2312"/>
          <w:bCs/>
          <w:sz w:val="32"/>
          <w:szCs w:val="32"/>
          <w:highlight w:val="none"/>
        </w:rPr>
        <w:t>局</w:t>
      </w:r>
      <w:r>
        <w:rPr>
          <w:rFonts w:hint="eastAsia" w:ascii="仿宋_GB2312" w:hAnsi="Times New Roman" w:eastAsia="仿宋_GB2312"/>
          <w:bCs/>
          <w:sz w:val="32"/>
          <w:szCs w:val="32"/>
        </w:rPr>
        <w:t>制定了“十四五”规划，与市场监管局部门职能</w:t>
      </w:r>
      <w:r>
        <w:rPr>
          <w:rFonts w:hint="eastAsia" w:ascii="仿宋_GB2312" w:hAnsi="Times New Roman" w:eastAsia="仿宋_GB2312"/>
          <w:bCs/>
          <w:sz w:val="32"/>
          <w:szCs w:val="32"/>
          <w:lang w:val="en-US" w:eastAsia="zh-CN"/>
        </w:rPr>
        <w:t>相</w:t>
      </w:r>
      <w:r>
        <w:rPr>
          <w:rFonts w:hint="eastAsia" w:ascii="仿宋_GB2312" w:hAnsi="Times New Roman" w:eastAsia="仿宋_GB2312"/>
          <w:bCs/>
          <w:sz w:val="32"/>
          <w:szCs w:val="32"/>
        </w:rPr>
        <w:t>匹配。但无相应的任务指标和具体的时间进度要求，未能制定目标任务细化分解方案。部门中长期规划需要进一步明确和细化。</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2.预算调整率偏高，预算编制精确性有待提高</w:t>
      </w:r>
    </w:p>
    <w:p>
      <w:pPr>
        <w:spacing w:line="560" w:lineRule="exact"/>
        <w:ind w:firstLine="707" w:firstLineChars="221"/>
        <w:rPr>
          <w:rFonts w:ascii="仿宋_GB2312" w:hAnsi="Times New Roman" w:eastAsia="仿宋_GB2312"/>
          <w:bCs/>
          <w:sz w:val="32"/>
          <w:szCs w:val="32"/>
        </w:rPr>
      </w:pPr>
      <w:r>
        <w:rPr>
          <w:rFonts w:hint="eastAsia" w:ascii="仿宋_GB2312" w:hAnsi="Times New Roman" w:eastAsia="仿宋_GB2312"/>
          <w:bCs/>
          <w:sz w:val="32"/>
          <w:szCs w:val="32"/>
        </w:rPr>
        <w:t>根据市场监管局决算报表数据，市场监管局2022年年初预算数为684.61万元，调整后预算963.67万元，调整预算279.06万元，预算调整率40.76%。</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3.内部控制制度与部门职能和业务匹配度较差，有待完善和细化</w:t>
      </w:r>
    </w:p>
    <w:p>
      <w:pPr>
        <w:spacing w:line="560" w:lineRule="exact"/>
        <w:ind w:firstLine="707" w:firstLineChars="221"/>
        <w:rPr>
          <w:rFonts w:ascii="仿宋_GB2312" w:hAnsi="Times New Roman" w:eastAsia="仿宋_GB2312"/>
          <w:bCs/>
          <w:sz w:val="32"/>
          <w:szCs w:val="32"/>
        </w:rPr>
      </w:pPr>
      <w:r>
        <w:rPr>
          <w:rFonts w:hint="eastAsia" w:ascii="仿宋_GB2312" w:hAnsi="Times New Roman" w:eastAsia="仿宋_GB2312"/>
          <w:bCs/>
          <w:sz w:val="32"/>
          <w:szCs w:val="32"/>
        </w:rPr>
        <w:t>根据市场监管局提供的内部控制制度，市场监管局制定了较为宏观的内部控制制度，与部门职能和业务匹配度较差，制度不够细化，缺少具体业务执行层面的制度规定。</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（二）绩效管理方面</w:t>
      </w:r>
    </w:p>
    <w:p>
      <w:pPr>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加强绩效目标管理，提高指标</w:t>
      </w:r>
      <w:r>
        <w:rPr>
          <w:rFonts w:hint="eastAsia" w:ascii="楷体" w:hAnsi="楷体" w:eastAsia="楷体" w:cs="仿宋_GB2312"/>
          <w:b/>
          <w:sz w:val="32"/>
          <w:szCs w:val="32"/>
        </w:rPr>
        <w:t>设置</w:t>
      </w:r>
      <w:r>
        <w:rPr>
          <w:rFonts w:hint="eastAsia" w:ascii="楷体" w:hAnsi="楷体" w:eastAsia="楷体" w:cs="仿宋_GB2312"/>
          <w:b/>
          <w:sz w:val="32"/>
          <w:szCs w:val="32"/>
          <w:lang w:val="en-US" w:eastAsia="zh-CN"/>
        </w:rPr>
        <w:t>的</w:t>
      </w:r>
      <w:r>
        <w:rPr>
          <w:rFonts w:hint="eastAsia" w:ascii="楷体" w:hAnsi="楷体" w:eastAsia="楷体" w:cs="仿宋_GB2312"/>
          <w:b/>
          <w:sz w:val="32"/>
          <w:szCs w:val="32"/>
        </w:rPr>
        <w:t>科学性</w:t>
      </w:r>
      <w:r>
        <w:rPr>
          <w:rFonts w:hint="eastAsia" w:ascii="仿宋_GB2312" w:hAnsi="Times New Roman" w:eastAsia="仿宋_GB2312"/>
          <w:b/>
          <w:sz w:val="32"/>
          <w:szCs w:val="32"/>
        </w:rPr>
        <w:t>和相关性水平</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建议市场监管局完善涵盖绩效目标、绩效监控、绩效评价、结果反馈和应用的预算绩效管理机制，加强预算编制环节的绩效导向，强化“用钱必问效”的绩效目标管理理念，全面提高预算绩效管理水平。优化部门和项目绩效指标体系，增强指标的合理性及可衡量性，进一步细化量化指标，提高部门整体支出指标与部门中长期规划、部门职能、年度任务和项目实施目的的相关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、有关建议</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（一）部门管理方面</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1.进一步细化部门中长期规划，明确阶段</w:t>
      </w:r>
      <w:r>
        <w:rPr>
          <w:rFonts w:hint="eastAsia" w:ascii="仿宋_GB2312" w:hAnsi="Times New Roman" w:eastAsia="仿宋_GB2312"/>
          <w:b/>
          <w:sz w:val="32"/>
          <w:szCs w:val="32"/>
          <w:lang w:val="en-US" w:eastAsia="zh-CN"/>
        </w:rPr>
        <w:t>性</w:t>
      </w:r>
      <w:r>
        <w:rPr>
          <w:rFonts w:hint="eastAsia" w:ascii="仿宋_GB2312" w:hAnsi="Times New Roman" w:eastAsia="仿宋_GB2312"/>
          <w:b/>
          <w:sz w:val="32"/>
          <w:szCs w:val="32"/>
        </w:rPr>
        <w:t>目标任务</w:t>
      </w:r>
    </w:p>
    <w:p>
      <w:pPr>
        <w:spacing w:line="560" w:lineRule="exact"/>
        <w:ind w:firstLine="707" w:firstLineChars="221"/>
        <w:rPr>
          <w:rFonts w:ascii="仿宋_GB2312" w:hAnsi="Times New Roman" w:eastAsia="仿宋_GB2312"/>
          <w:bCs/>
          <w:sz w:val="32"/>
          <w:szCs w:val="32"/>
        </w:rPr>
      </w:pPr>
      <w:r>
        <w:rPr>
          <w:rFonts w:hint="eastAsia" w:ascii="仿宋_GB2312" w:hAnsi="Times New Roman" w:eastAsia="仿宋_GB2312"/>
          <w:bCs/>
          <w:sz w:val="32"/>
          <w:szCs w:val="32"/>
        </w:rPr>
        <w:t>“十四五”规划作为部门近五年的发展目标，如何实现该目标，需要市场监管局针对部门“十四五”规划，进行任务分解，形成阶段性的细化任务指标和具体的执行方案。年度计划的制定及实施，需要与“十四五”规划在政策、任务、目标、项目上的衔接，按照规划纲要明确的发展方向确定年度工作重点，把五年规划总体目标任务逐年分解到年度计划目标任务中去，有力有序推进规划的有效实施，推动规划真正落到实处。</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2.切实加强预算管理，提高部门预算编制的精确性</w:t>
      </w:r>
    </w:p>
    <w:p>
      <w:pPr>
        <w:spacing w:line="560" w:lineRule="exact"/>
        <w:ind w:firstLine="707" w:firstLineChars="221"/>
        <w:rPr>
          <w:rFonts w:ascii="仿宋_GB2312" w:hAnsi="Times New Roman" w:eastAsia="仿宋_GB2312"/>
          <w:b/>
          <w:sz w:val="32"/>
          <w:szCs w:val="32"/>
        </w:rPr>
      </w:pPr>
      <w:r>
        <w:rPr>
          <w:rFonts w:hint="eastAsia" w:ascii="仿宋_GB2312" w:hAnsi="Times New Roman" w:eastAsia="仿宋_GB2312"/>
          <w:bCs/>
          <w:sz w:val="32"/>
          <w:szCs w:val="32"/>
        </w:rPr>
        <w:t>建议市场监管局编制预算时与各业务部门充分沟通，综合考虑以前年度工作计划及其执行情况、资金使用情况，并结合下一年度主要任务和其他工作计划合理编制预算，做到二级明细覆盖预算年度各处室所有工作内容，测算方式科学、测算依据充分，减少预算与实际需求的差异，提高预算编制的精确性，逐步降低预算调整率。</w:t>
      </w:r>
      <w:r>
        <w:rPr>
          <w:rFonts w:hint="eastAsia" w:ascii="仿宋_GB2312" w:hAnsi="Times New Roman" w:eastAsia="仿宋_GB2312"/>
          <w:b/>
          <w:sz w:val="32"/>
          <w:szCs w:val="32"/>
        </w:rPr>
        <w:t xml:space="preserve"> </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3.切实完善内部控制制度体系，加强内部控制制度的有效执行</w:t>
      </w:r>
    </w:p>
    <w:p>
      <w:pPr>
        <w:spacing w:line="560" w:lineRule="exact"/>
        <w:ind w:firstLine="707" w:firstLineChars="221"/>
        <w:rPr>
          <w:rFonts w:ascii="仿宋_GB2312" w:hAnsi="Times New Roman" w:eastAsia="仿宋_GB2312"/>
          <w:bCs/>
          <w:sz w:val="32"/>
          <w:szCs w:val="32"/>
        </w:rPr>
      </w:pPr>
      <w:r>
        <w:rPr>
          <w:rFonts w:hint="eastAsia" w:ascii="仿宋_GB2312" w:hAnsi="Times New Roman" w:eastAsia="仿宋_GB2312"/>
          <w:bCs/>
          <w:sz w:val="32"/>
          <w:szCs w:val="32"/>
        </w:rPr>
        <w:t>建议市场监管局增强内部控制建设责任意识，完善内部控制制度体系与部门职能和业务的匹配性，确保各项工作细节都有与之对应的制度条例，保证内部控制工作能有效落实。结合本单位实际发展状况对管理体制不断进行优化，采取自上而下与自下而上相结合的控制方式，保证内部控制体系的工作效率及管理质量，加强内部控制制度的有效执行。</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（二）绩效管理方面</w:t>
      </w:r>
    </w:p>
    <w:p>
      <w:pPr>
        <w:spacing w:line="560" w:lineRule="exact"/>
        <w:ind w:firstLine="710" w:firstLineChars="221"/>
        <w:rPr>
          <w:rFonts w:ascii="仿宋_GB2312" w:hAnsi="Times New Roman" w:eastAsia="仿宋_GB2312"/>
          <w:b/>
          <w:sz w:val="32"/>
          <w:szCs w:val="32"/>
        </w:rPr>
      </w:pPr>
      <w:r>
        <w:rPr>
          <w:rFonts w:hint="eastAsia" w:ascii="仿宋_GB2312" w:hAnsi="Times New Roman" w:eastAsia="仿宋_GB2312"/>
          <w:b/>
          <w:sz w:val="32"/>
          <w:szCs w:val="32"/>
        </w:rPr>
        <w:t>加强绩效目标管理，提高指标设置</w:t>
      </w:r>
      <w:r>
        <w:rPr>
          <w:rFonts w:hint="eastAsia" w:ascii="仿宋_GB2312" w:hAnsi="Times New Roman" w:eastAsia="仿宋_GB2312"/>
          <w:b/>
          <w:sz w:val="32"/>
          <w:szCs w:val="32"/>
          <w:lang w:val="en-US" w:eastAsia="zh-CN"/>
        </w:rPr>
        <w:t>的</w:t>
      </w:r>
      <w:r>
        <w:rPr>
          <w:rFonts w:hint="eastAsia" w:ascii="仿宋_GB2312" w:hAnsi="Times New Roman" w:eastAsia="仿宋_GB2312"/>
          <w:b/>
          <w:sz w:val="32"/>
          <w:szCs w:val="32"/>
        </w:rPr>
        <w:t>科学性和相关性水平</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建议市场监管局完善涵盖绩效目标、绩效监控、绩效评价、结果反馈和应用的预算绩效管理机制，加强预算编制环节的绩效导向，强化“用钱必问效”的绩效目标管理理念，全面提高预算绩效管理水平。优化部门和项目绩效指标体系，增强指标的合理性及可衡量性，进一步细化量化指标，提高部门整体支出指标与部门中长期规划、部门职能、年度任务和项目实施目的的相关性。</w:t>
      </w:r>
    </w:p>
    <w:p>
      <w:pPr>
        <w:spacing w:line="560" w:lineRule="exact"/>
        <w:ind w:firstLine="640" w:firstLineChars="200"/>
        <w:rPr>
          <w:rFonts w:hint="eastAsia" w:ascii="仿宋_GB2312" w:hAnsi="Times New Roman" w:eastAsia="仿宋_GB2312"/>
          <w:bCs/>
          <w:sz w:val="32"/>
          <w:szCs w:val="32"/>
        </w:rPr>
      </w:pPr>
    </w:p>
    <w:p>
      <w:pPr>
        <w:spacing w:line="560" w:lineRule="exact"/>
        <w:ind w:firstLine="640" w:firstLineChars="200"/>
        <w:rPr>
          <w:rFonts w:hint="eastAsia" w:ascii="仿宋_GB2312" w:hAnsi="Times New Roman" w:eastAsia="仿宋_GB2312"/>
          <w:bCs/>
          <w:sz w:val="32"/>
          <w:szCs w:val="32"/>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佛坪县应急管理局2022年部门整体支出</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（一）部门概况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根据《中共佛坪县委办公室 佛坪县人民政府办公室关于印发佛坪县应急管理局职能配置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内设机构和人员编制规定的通知》（佛办字〔2019〕68号），县应急管理局是县政府工作部门，为正科级。</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佛坪县应急管理局贯彻落实党中央、省委、市委和县委关于应急管理工作的方针政策和决策部署，在履行职责过程中坚持和加强党对应急管理工作的集中统一领导。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佛坪县应急管理局内设3个股室：办公室、应急管理股（防灾减灾救灾股）、综合安监股。下属单位4个：佛坪县应急管理综合执法大队、佛坪县防震减灾办公室、佛坪县森林防灭火指挥部办公室、佛坪县防汛抗旱指挥部办公室。</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截至2022年底，佛坪县应急管理局人员编制30人，其中行政编制6人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事业编制24人；实有人员25人，其中行政6人、事业19人</w:t>
      </w:r>
      <w:r>
        <w:rPr>
          <w:rFonts w:hint="eastAsia"/>
          <w:lang w:eastAsia="zh-CN"/>
        </w:rPr>
        <w:t>，</w:t>
      </w:r>
      <w:r>
        <w:rPr>
          <w:rFonts w:hint="eastAsia" w:ascii="仿宋_GB2312" w:hAnsi="仿宋_GB2312" w:eastAsia="仿宋_GB2312" w:cs="仿宋_GB2312"/>
          <w:sz w:val="32"/>
          <w:szCs w:val="32"/>
        </w:rPr>
        <w:t>单位管理的离退休人员4人。</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（二）部门预决算情况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2022年度，佛坪县应急管理局总体预算收入安排共计1,143.09万元，其中：基本支出306.36万元，项目支出836.73万元。当年实际支出1,143.09万元，其中：基本支出306.36万元，项目支出836.73万元，预算执行率100.00%。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年度，佛坪县应急管理局部门收入年初预算293.68万元，调整后预算1,143.09万元，预算调整849.41万元；2022年部门支出年初预算293.68万元，调整后预算1,143.09万元，预算调整849.41万元。</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2022年度，佛坪县应急管理局部门收入决算1,143.09万元；2022年部门支出决算1,143.09万元。应急管理局2022年基本支出306.36万元，占比26.8%；其中人员经费270.79万元，占比88.39%；公用经费35.58万元，占比11.61%。</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二、综合评价结论</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评价认为，2022年佛坪县应急管理局贯彻落实国家、省市和全县应急管理工作的统一安排，在财政预算资金的有力保障下，全年各项工作任务</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情况良好。但是，评价同时指出部门中长期规划和工作计划需要进一步明确和细化，长效管理机制存在不足，机制建设</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有待进一步优化，预算绩效管理方面有待加强等问题。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经综合评价，本次佛坪县应急管理局2022年部门整体支出绩效评价得分</w:t>
      </w:r>
      <w:r>
        <w:rPr>
          <w:rFonts w:ascii="仿宋_GB2312" w:hAnsi="仿宋_GB2312" w:eastAsia="仿宋_GB2312" w:cs="仿宋_GB2312"/>
          <w:b/>
          <w:sz w:val="32"/>
          <w:szCs w:val="32"/>
        </w:rPr>
        <w:t>92.23</w:t>
      </w:r>
      <w:r>
        <w:rPr>
          <w:rFonts w:hint="eastAsia" w:ascii="仿宋_GB2312" w:hAnsi="仿宋_GB2312" w:eastAsia="仿宋_GB2312" w:cs="仿宋_GB2312"/>
          <w:b/>
          <w:sz w:val="32"/>
          <w:szCs w:val="32"/>
        </w:rPr>
        <w:t>分，综合评价结果等级为“优”。</w:t>
      </w:r>
    </w:p>
    <w:p>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表</w:t>
      </w:r>
      <w:r>
        <w:rPr>
          <w:rFonts w:hint="eastAsia" w:ascii="仿宋_GB2312" w:hAnsi="仿宋_GB2312" w:eastAsia="仿宋_GB2312" w:cs="仿宋_GB2312"/>
          <w:b/>
          <w:bCs/>
          <w:sz w:val="28"/>
          <w:szCs w:val="28"/>
        </w:rPr>
        <w:t>2</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 xml:space="preserve"> 佛坪县应急管理局2022年部门整体支出</w:t>
      </w:r>
      <w:r>
        <w:rPr>
          <w:rFonts w:ascii="仿宋_GB2312" w:hAnsi="仿宋_GB2312" w:eastAsia="仿宋_GB2312" w:cs="仿宋_GB2312"/>
          <w:b/>
          <w:bCs/>
          <w:sz w:val="28"/>
          <w:szCs w:val="28"/>
        </w:rPr>
        <w:t>指标评分表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4"/>
        <w:gridCol w:w="2214"/>
        <w:gridCol w:w="2214"/>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Header/>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部门决策</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15</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w:t>
            </w:r>
            <w:r>
              <w:rPr>
                <w:rFonts w:ascii="仿宋_GB2312" w:hAnsi="仿宋_GB2312" w:eastAsia="仿宋_GB2312" w:cs="仿宋_GB2312"/>
                <w:sz w:val="24"/>
              </w:rPr>
              <w:t>45</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83</w:t>
            </w:r>
            <w:r>
              <w:rPr>
                <w:rFonts w:hint="eastAsia" w:ascii="仿宋_GB2312" w:hAnsi="仿宋_GB2312" w:eastAsia="仿宋_GB2312" w:cs="仿宋_GB2312"/>
                <w:sz w:val="24"/>
              </w:rPr>
              <w:t>.</w:t>
            </w:r>
            <w:r>
              <w:rPr>
                <w:rFonts w:ascii="仿宋_GB2312" w:hAnsi="仿宋_GB2312" w:eastAsia="仿宋_GB2312" w:cs="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部门管理</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25</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22</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履职产出</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35</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35</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履职效益</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25</w:t>
            </w:r>
          </w:p>
        </w:tc>
        <w:tc>
          <w:tcPr>
            <w:tcW w:w="1249" w:type="pct"/>
            <w:tcMar>
              <w:top w:w="10" w:type="dxa"/>
              <w:left w:w="10" w:type="dxa"/>
              <w:bottom w:w="0" w:type="dxa"/>
              <w:right w:w="10" w:type="dxa"/>
            </w:tcMar>
            <w:vAlign w:val="center"/>
          </w:tcPr>
          <w:p>
            <w:pPr>
              <w:jc w:val="center"/>
              <w:rPr>
                <w:rFonts w:ascii="仿宋_GB2312" w:hAnsi="仿宋_GB2312" w:eastAsia="仿宋_GB2312" w:cs="仿宋_GB2312"/>
                <w:sz w:val="24"/>
                <w:highlight w:val="yellow"/>
              </w:rPr>
            </w:pPr>
            <w:r>
              <w:rPr>
                <w:rFonts w:ascii="仿宋_GB2312" w:hAnsi="仿宋_GB2312" w:eastAsia="仿宋_GB2312" w:cs="仿宋_GB2312"/>
                <w:sz w:val="24"/>
              </w:rPr>
              <w:t>22.78</w:t>
            </w:r>
          </w:p>
        </w:tc>
        <w:tc>
          <w:tcPr>
            <w:tcW w:w="1253" w:type="pct"/>
            <w:tcMar>
              <w:top w:w="10" w:type="dxa"/>
              <w:left w:w="10" w:type="dxa"/>
              <w:bottom w:w="0" w:type="dxa"/>
              <w:right w:w="10" w:type="dxa"/>
            </w:tcMar>
            <w:vAlign w:val="center"/>
          </w:tcPr>
          <w:p>
            <w:pPr>
              <w:jc w:val="center"/>
              <w:rPr>
                <w:rFonts w:ascii="仿宋_GB2312" w:hAnsi="仿宋_GB2312" w:eastAsia="仿宋_GB2312" w:cs="仿宋_GB2312"/>
                <w:sz w:val="24"/>
                <w:highlight w:val="yellow"/>
              </w:rPr>
            </w:pPr>
            <w:r>
              <w:rPr>
                <w:rFonts w:ascii="仿宋_GB2312" w:hAnsi="仿宋_GB2312" w:eastAsia="仿宋_GB2312" w:cs="仿宋_GB2312"/>
                <w:sz w:val="24"/>
              </w:rPr>
              <w:t>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000" w:type="pct"/>
            <w:gridSpan w:val="4"/>
            <w:tcMar>
              <w:top w:w="10" w:type="dxa"/>
              <w:left w:w="10" w:type="dxa"/>
              <w:bottom w:w="0" w:type="dxa"/>
              <w:right w:w="10" w:type="dxa"/>
            </w:tcMar>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b/>
                <w:bCs/>
                <w:sz w:val="24"/>
              </w:rPr>
              <w:t>绩效评价得分：</w:t>
            </w:r>
            <w:r>
              <w:rPr>
                <w:rFonts w:ascii="仿宋_GB2312" w:hAnsi="仿宋_GB2312" w:eastAsia="仿宋_GB2312" w:cs="仿宋_GB2312"/>
                <w:b/>
                <w:bCs/>
                <w:sz w:val="24"/>
              </w:rPr>
              <w:t>92.23</w:t>
            </w:r>
            <w:r>
              <w:rPr>
                <w:rFonts w:hint="eastAsia" w:ascii="仿宋_GB2312" w:hAnsi="仿宋_GB2312" w:eastAsia="仿宋_GB2312" w:cs="仿宋_GB2312"/>
                <w:b/>
                <w:bCs/>
                <w:sz w:val="24"/>
              </w:rPr>
              <w:t xml:space="preserve">   综合评价结果等级：优</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三、绩效评价指标分析</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（一）部门决策情况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部门决策从“部门规划”“目标管理”和“预算配置”三个方面对项目进行评价，分值共计15分。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应急管理局年度工作计划制定</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较完善，并能分解为各项目标任务。但在部门规划、绩效目标和指标制定方面有待提高。在预算配置中预算编制精确性有待提高。</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经综合评价，部门决策实际得分12.45分，得分率83.00%。</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（二）部门管理情况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部门管理从“预算执行”“预算管理”“资产管理”和“绩效管理”四个方面对项目进行评价，分值共计25分。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佛坪县应急管理局部门管理指标大部分完成较好，但在绩效运行监控、部门绩效自评指标方面尚需加强和完善。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经综合评价，部门实际管理得分22分，得分率</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sz w:val="32"/>
          <w:szCs w:val="32"/>
        </w:rPr>
        <w:t>88%。</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（三）部门履职情况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履职产出从“安全生产监督产出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防灾减灾产出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应急管理产出”和“综合性工作产出”四个方面对项目进行评价，分值共计35分。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应急管理局部门履职方面能较好</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rPr>
        <w:t>完成绩效目标任务，全年工作任务完成情况较好，相关目标任务均完成了年初工作任务设定的指标值。</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经综合评价，项目产出评价得分35分，得分率100.00%。</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（四）履职效益情况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履职效益从“经济效益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社会效益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可持续影响”和“满意度”四个方面对项目进行评价，分值共计25分。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应急管理局在履职效益方面，社会效益和满意度方面指标完成较好。能力建设和可持续影响指标方面有待提升。</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经综合评价，履职效益评价得分22.78分，得分率91.12%。</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四、主要经验及做法</w:t>
      </w:r>
    </w:p>
    <w:p>
      <w:pPr>
        <w:spacing w:line="560" w:lineRule="exact"/>
        <w:ind w:firstLine="643" w:firstLineChars="200"/>
        <w:rPr>
          <w:rFonts w:ascii="楷体" w:hAnsi="楷体" w:eastAsia="楷体" w:cs="仿宋_GB2312"/>
          <w:b/>
          <w:bCs/>
          <w:sz w:val="32"/>
          <w:szCs w:val="32"/>
          <w:highlight w:val="yellow"/>
        </w:rPr>
      </w:pPr>
      <w:r>
        <w:rPr>
          <w:rFonts w:hint="eastAsia" w:ascii="楷体" w:hAnsi="楷体" w:eastAsia="楷体" w:cs="仿宋_GB2312"/>
          <w:b/>
          <w:bCs/>
          <w:sz w:val="32"/>
          <w:szCs w:val="32"/>
        </w:rPr>
        <w:t>（一）深化综合执法改革，全面推进法治政府建设</w:t>
      </w:r>
    </w:p>
    <w:p>
      <w:pPr>
        <w:spacing w:line="560" w:lineRule="exact"/>
        <w:ind w:firstLine="640" w:firstLineChars="200"/>
        <w:rPr>
          <w:rFonts w:ascii="仿宋_GB2312" w:hAnsi="楷体" w:eastAsia="仿宋_GB2312" w:cs="仿宋_GB2312"/>
          <w:sz w:val="32"/>
          <w:szCs w:val="32"/>
          <w:highlight w:val="yellow"/>
        </w:rPr>
      </w:pPr>
      <w:r>
        <w:rPr>
          <w:rFonts w:hint="eastAsia" w:ascii="仿宋_GB2312" w:hAnsi="楷体" w:eastAsia="仿宋_GB2312" w:cs="仿宋_GB2312"/>
          <w:sz w:val="32"/>
          <w:szCs w:val="32"/>
        </w:rPr>
        <w:t>佛坪县应急管理局在原有安全生产执法职责基础上，进一步厘清对地质灾害、水旱灾害、森林火灾等有关应急抢险、灾害救助、防震减灾等方面执法事项，明确执法重点清单，实行“清单式”执法的应急管理监管体制；应急管理局对照《汉中市应急管理综合执法队伍标准化建设规范</w:t>
      </w:r>
      <w:r>
        <w:rPr>
          <w:rFonts w:hint="eastAsia" w:ascii="仿宋_GB2312" w:hAnsi="楷体" w:eastAsia="仿宋_GB2312" w:cs="仿宋_GB2312"/>
          <w:sz w:val="32"/>
          <w:szCs w:val="32"/>
          <w:highlight w:val="none"/>
          <w:lang w:eastAsia="zh-CN"/>
        </w:rPr>
        <w:t>（</w:t>
      </w:r>
      <w:r>
        <w:rPr>
          <w:rFonts w:hint="eastAsia" w:ascii="仿宋_GB2312" w:hAnsi="楷体" w:eastAsia="仿宋_GB2312" w:cs="仿宋_GB2312"/>
          <w:sz w:val="32"/>
          <w:szCs w:val="32"/>
        </w:rPr>
        <w:t>试行</w:t>
      </w:r>
      <w:r>
        <w:rPr>
          <w:rFonts w:hint="eastAsia" w:ascii="仿宋_GB2312" w:hAnsi="楷体" w:eastAsia="仿宋_GB2312" w:cs="仿宋_GB2312"/>
          <w:sz w:val="32"/>
          <w:szCs w:val="32"/>
          <w:highlight w:val="none"/>
          <w:lang w:eastAsia="zh-CN"/>
        </w:rPr>
        <w:t>）</w:t>
      </w:r>
      <w:r>
        <w:rPr>
          <w:rFonts w:hint="eastAsia" w:ascii="仿宋_GB2312" w:hAnsi="楷体" w:eastAsia="仿宋_GB2312" w:cs="仿宋_GB2312"/>
          <w:sz w:val="32"/>
          <w:szCs w:val="32"/>
        </w:rPr>
        <w:t>》，落实办案区用房5间，按标准设置问询室、档案室等。</w:t>
      </w:r>
    </w:p>
    <w:p>
      <w:pPr>
        <w:spacing w:line="560" w:lineRule="exact"/>
        <w:ind w:firstLine="643" w:firstLineChars="200"/>
        <w:rPr>
          <w:rFonts w:ascii="楷体" w:hAnsi="楷体" w:eastAsia="楷体" w:cs="仿宋_GB2312"/>
          <w:b/>
          <w:bCs/>
          <w:sz w:val="32"/>
          <w:szCs w:val="32"/>
          <w:highlight w:val="yellow"/>
        </w:rPr>
      </w:pPr>
      <w:r>
        <w:rPr>
          <w:rFonts w:hint="eastAsia" w:ascii="楷体" w:hAnsi="楷体" w:eastAsia="楷体" w:cs="仿宋_GB2312"/>
          <w:b/>
          <w:bCs/>
          <w:sz w:val="32"/>
          <w:szCs w:val="32"/>
        </w:rPr>
        <w:t>（二）持续加强自身建设，提升应急管理工作水平</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楷体" w:eastAsia="仿宋_GB2312" w:cs="仿宋_GB2312"/>
          <w:sz w:val="32"/>
          <w:szCs w:val="32"/>
        </w:rPr>
        <w:t>佛坪县应急管理局不断强化机关建设。不断完善机关管理各项制度，强化政务、事务、会务</w:t>
      </w:r>
      <w:r>
        <w:rPr>
          <w:rFonts w:hint="eastAsia"/>
          <w:lang w:val="en-US" w:eastAsia="zh-CN"/>
        </w:rPr>
        <w:t>等</w:t>
      </w:r>
      <w:r>
        <w:rPr>
          <w:rFonts w:hint="eastAsia" w:ascii="仿宋_GB2312" w:hAnsi="楷体" w:eastAsia="仿宋_GB2312" w:cs="仿宋_GB2312"/>
          <w:sz w:val="32"/>
          <w:szCs w:val="32"/>
        </w:rPr>
        <w:t>规范化服务，从严控制公务接待、公务用车、办公耗材、财务管理，有效降低了行政成本；全面做好疫情防控、</w:t>
      </w:r>
      <w:r>
        <w:rPr>
          <w:rFonts w:hint="eastAsia" w:ascii="仿宋_GB2312" w:hAnsi="楷体" w:eastAsia="仿宋_GB2312" w:cs="仿宋_GB2312"/>
          <w:sz w:val="32"/>
          <w:szCs w:val="32"/>
          <w:highlight w:val="none"/>
          <w:lang w:eastAsia="zh-CN"/>
        </w:rPr>
        <w:t>巩固拓展脱贫攻坚成果同乡村振兴有效</w:t>
      </w:r>
      <w:r>
        <w:rPr>
          <w:rFonts w:hint="eastAsia" w:ascii="仿宋_GB2312" w:hAnsi="楷体" w:eastAsia="仿宋_GB2312" w:cs="仿宋_GB2312"/>
          <w:sz w:val="32"/>
          <w:szCs w:val="32"/>
          <w:highlight w:val="none"/>
          <w:lang w:val="en-US" w:eastAsia="zh-CN"/>
        </w:rPr>
        <w:t>衔</w:t>
      </w:r>
      <w:r>
        <w:rPr>
          <w:rFonts w:hint="eastAsia" w:ascii="仿宋_GB2312" w:hAnsi="楷体" w:eastAsia="仿宋_GB2312" w:cs="仿宋_GB2312"/>
          <w:sz w:val="32"/>
          <w:szCs w:val="32"/>
          <w:highlight w:val="none"/>
          <w:lang w:eastAsia="zh-CN"/>
        </w:rPr>
        <w:t>接</w:t>
      </w:r>
      <w:r>
        <w:rPr>
          <w:rFonts w:hint="eastAsia" w:ascii="仿宋_GB2312" w:hAnsi="楷体" w:eastAsia="仿宋_GB2312" w:cs="仿宋_GB2312"/>
          <w:sz w:val="32"/>
          <w:szCs w:val="32"/>
        </w:rPr>
        <w:t>等重点工作。二是开展综合示范创建。认真开展省级应急管理综合执法标准化建设示范单位创建活动，各项工作正在有序进行中；高标准完成省级安全</w:t>
      </w:r>
      <w:r>
        <w:rPr>
          <w:rFonts w:hint="eastAsia" w:ascii="仿宋_GB2312" w:hAnsi="楷体" w:eastAsia="仿宋_GB2312" w:cs="仿宋_GB2312"/>
          <w:sz w:val="32"/>
          <w:szCs w:val="32"/>
          <w:highlight w:val="none"/>
          <w:lang w:eastAsia="zh-CN"/>
        </w:rPr>
        <w:t>文化</w:t>
      </w:r>
      <w:r>
        <w:rPr>
          <w:rFonts w:hint="eastAsia" w:ascii="仿宋_GB2312" w:hAnsi="楷体" w:eastAsia="仿宋_GB2312" w:cs="仿宋_GB2312"/>
          <w:sz w:val="32"/>
          <w:szCs w:val="32"/>
        </w:rPr>
        <w:t>示范企业创建活动，已成功培植国家电网佛坪分公司为省级安全文化建设示范企业。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五、存在的问题</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（一）部门管理方面</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1.部门中长期规划和工作计划需要进一步明确和细化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制定了2022年工作计划，与部门职能相匹配。应急管理局进一步将工作计划分解为2022年个性化目标任务，印发了《佛坪县应急管理局2022年工作要点》（佛应急发〔2022〕5号），一是细致程度存在不足，县应急局根据部门职责与发展规划分解了对应的年度计划工作内容，但部分工作内容未明确当年计划推进程度（即工作目标）或时间节点要求。二是对预算的指导作用不强，与年度预算资金使用计划适应性不足，存在部分项目在编制年度预算前，对下一年度工作的预测预估不够充分，造成预算编制质量不高，导致实施过程中需进行预算调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2.长效管理机制存在不足，机制建设有待进一步优化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信息化建设对部分职能履职的支撑作用有待进一步提高，主要体现在应急管理数据信息与横向部门既有平台共享不足。二是全县应急物资储备的信息汇聚存在不足，县应急局作为全县应急物资储备和救援装备的调度部门，对各行业部门应急物资的实际储备信息情况掌握不充分。三是部分业务尚未建立相关业务管理制度，如应急物资的储备、更新、领用、报废等管理制度等。</w:t>
      </w:r>
    </w:p>
    <w:p>
      <w:pPr>
        <w:spacing w:line="56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（二）绩效管理方面</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1.部门绩效目标管理工作有待提高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部门整体绩效目标编制存在欠缺，绩效指标量化度、可衡量性不足，目标管理实施成效有待提高。在绩效指标设置方面，局本级及下属二级单位普遍存在绩效指标设置不完整，缺少决策、过程类指标；履职指标不</w:t>
      </w:r>
      <w:r>
        <w:rPr>
          <w:rFonts w:hint="eastAsia" w:ascii="仿宋_GB2312" w:hAnsi="仿宋_GB2312" w:eastAsia="仿宋_GB2312" w:cs="仿宋_GB2312"/>
          <w:sz w:val="32"/>
          <w:szCs w:val="32"/>
          <w:lang w:val="en-US" w:eastAsia="zh-CN"/>
        </w:rPr>
        <w:t>明晰</w:t>
      </w:r>
      <w:r>
        <w:rPr>
          <w:rFonts w:hint="eastAsia" w:ascii="仿宋_GB2312" w:hAnsi="仿宋_GB2312" w:eastAsia="仿宋_GB2312" w:cs="仿宋_GB2312"/>
          <w:sz w:val="32"/>
          <w:szCs w:val="32"/>
        </w:rPr>
        <w:t>未细化量化，不能完全体现部门职能等问题；未能将具体工作任务和整体绩效目标细化分解为具体的产出指标，指标设置不合理、不明确、不科学、不完整，指标值未细化量化。效益指标值全部为定性类文字表述，科学性不足，可考核性差。</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2.部门预算绩效管理机制有待完善</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应急管理局提供的内控管理制度发现，应急管理局未建立预算绩效管理制度，未形成完整的预算绩效管理机制。应急管理局2022年度未见项目支出绩效跟踪评价（自评）相关内容，对实施的项目进度未实行绩效监控。县应急管理局按照财政部门要求开展绩效自评工作，填报了部门整体支出绩效自评表和项目支出绩效自评表，形成了部门整体支出自评报告，但未见相关项目绩效自评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（一）</w:t>
      </w:r>
      <w:r>
        <w:rPr>
          <w:rFonts w:hint="eastAsia" w:ascii="楷体" w:hAnsi="楷体" w:eastAsia="楷体" w:cs="楷体"/>
          <w:b/>
          <w:bCs/>
          <w:sz w:val="32"/>
          <w:szCs w:val="32"/>
        </w:rPr>
        <w:t>部门管理方面</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1.进一步细化年度工作计划，提高与预算资金使用计划的适应性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县应急局围绕部门职能、部门规划制定年度工作计划，并细化至具体工作事项；对年度工作计划应当在总体目标、计划实施内容、时间安排、资金安排、人员安排等方面进行细化分解，形成具体的执行方案，压实责任。进一步优化项目预算资金使用计划与年度工作计划的适应性，避免年中因预算调整而影响项目实施进度。</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2.优化长效机制建设，提升部门履职效能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建议县应急局进一步明确信息化建设需求，同相关部门推进跨部门、跨区域、跨层级数据互联互通和汇聚共享，推动</w:t>
      </w:r>
      <w:r>
        <w:rPr>
          <w:rFonts w:hint="eastAsia" w:ascii="仿宋_GB2312" w:hAnsi="仿宋_GB2312" w:eastAsia="仿宋_GB2312" w:cs="仿宋_GB2312"/>
          <w:sz w:val="32"/>
          <w:szCs w:val="32"/>
          <w:lang w:val="en-US" w:eastAsia="zh-CN"/>
        </w:rPr>
        <w:t>发挥</w:t>
      </w:r>
      <w:r>
        <w:rPr>
          <w:rFonts w:hint="eastAsia" w:ascii="仿宋_GB2312" w:hAnsi="仿宋_GB2312" w:eastAsia="仿宋_GB2312" w:cs="仿宋_GB2312"/>
          <w:sz w:val="32"/>
          <w:szCs w:val="32"/>
        </w:rPr>
        <w:t>信息化建设对部门履职的支撑作用，提升数字化应急管理能力建设水平。推进应急物资储备信息汇聚管理，进一步加强与各行业主管部门的沟通联系。规范现场指挥部建设，完善现场处置规程，加强现场指挥保障，完善部门间协调联动机制，形成科学规范的指挥规则和处置流程。</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（二）绩效管理方面</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1.加强绩效目标管理，提高科学性和相关性水平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建议应急管理局进一步提高部门整体绩效目标与年度工作计划的衔接性，有效实施目标管理。结合预算绩效指标体系，对指标设置</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全面规划，严格按照相关要求将主要工作从目标、结果、权重、完成时间、衡量判断标准、影响绩效计划完成因素等方面设置的绩效指标。结合项目实际情况及特点，提升绩效指标设置的质量，提高绩效指标设置的科学性、合理性，为后期绩效管理工作提供科学合理的标准。</w:t>
      </w:r>
    </w:p>
    <w:p>
      <w:pPr>
        <w:spacing w:line="560" w:lineRule="exact"/>
        <w:ind w:firstLine="643" w:firstLineChars="200"/>
        <w:rPr>
          <w:rFonts w:hint="eastAsia" w:ascii="仿宋_GB2312" w:hAnsi="仿宋_GB2312" w:eastAsia="宋体" w:cs="仿宋_GB2312"/>
          <w:b/>
          <w:bCs/>
          <w:sz w:val="32"/>
          <w:szCs w:val="32"/>
          <w:lang w:val="en-US" w:eastAsia="zh-CN"/>
        </w:rPr>
      </w:pPr>
      <w:r>
        <w:rPr>
          <w:rFonts w:hint="eastAsia" w:ascii="仿宋_GB2312" w:hAnsi="仿宋_GB2312" w:eastAsia="仿宋_GB2312" w:cs="仿宋_GB2312"/>
          <w:b/>
          <w:bCs/>
          <w:sz w:val="32"/>
          <w:szCs w:val="32"/>
        </w:rPr>
        <w:t>2.完善部门预算绩效管理机制，加强绩效监控和绩效自评，提高绩效评价结果应</w:t>
      </w:r>
      <w:r>
        <w:rPr>
          <w:rFonts w:hint="eastAsia" w:ascii="仿宋_GB2312" w:hAnsi="仿宋_GB2312" w:eastAsia="仿宋_GB2312" w:cs="仿宋_GB2312"/>
          <w:b/>
          <w:bCs/>
          <w:sz w:val="30"/>
          <w:szCs w:val="30"/>
        </w:rPr>
        <w:t>用</w:t>
      </w:r>
      <w:r>
        <w:rPr>
          <w:rFonts w:hint="eastAsia" w:ascii="仿宋_GB2312" w:hAnsi="仿宋_GB2312" w:eastAsia="仿宋_GB2312" w:cs="仿宋_GB2312"/>
          <w:b/>
          <w:bCs/>
          <w:sz w:val="30"/>
          <w:szCs w:val="30"/>
          <w:lang w:val="en-US" w:eastAsia="zh-CN"/>
        </w:rPr>
        <w:t>水平</w:t>
      </w:r>
      <w:bookmarkStart w:id="10" w:name="_GoBack"/>
      <w:bookmarkEnd w:id="10"/>
    </w:p>
    <w:p>
      <w:pPr>
        <w:spacing w:line="560" w:lineRule="exact"/>
        <w:ind w:firstLine="640" w:firstLineChars="200"/>
        <w:rPr>
          <w:rFonts w:hint="eastAsia" w:ascii="仿宋_GB2312" w:hAnsi="Times New Roman" w:eastAsia="仿宋_GB2312"/>
          <w:bCs/>
          <w:sz w:val="32"/>
          <w:szCs w:val="32"/>
          <w:lang w:eastAsia="zh-CN"/>
        </w:rPr>
        <w:sectPr>
          <w:footerReference r:id="rId3" w:type="default"/>
          <w:pgSz w:w="11906" w:h="16838"/>
          <w:pgMar w:top="2098" w:right="1474" w:bottom="1984" w:left="1587" w:header="851" w:footer="1418" w:gutter="0"/>
          <w:pgNumType w:start="1"/>
          <w:cols w:space="720" w:num="1"/>
          <w:docGrid w:type="lines" w:linePitch="312" w:charSpace="0"/>
        </w:sectPr>
      </w:pPr>
      <w:r>
        <w:rPr>
          <w:rFonts w:hint="eastAsia" w:ascii="仿宋_GB2312" w:hAnsi="仿宋_GB2312" w:eastAsia="仿宋_GB2312" w:cs="仿宋_GB2312"/>
          <w:sz w:val="32"/>
          <w:szCs w:val="32"/>
        </w:rPr>
        <w:t>建议应急管理局完善涵盖绩效目标、绩效监控、绩效评价、结果反馈和应用的预算管理机制，加强预算编制环节的绩效导向，强化“用钱必问效”的绩效目标管理理念，提高全面预算绩效管理水平。加强部门整体支出和项目支出的中期绩效监控，对绩效目标完成情况、项目实施情况、预算执行情况等方面开展绩效监控分析，对项目实施中的问题及时纠偏，保证项目按期完成和绩效目标的实现。做好部门整体支出和项目支出的绩效自评工作，及时发现管理中的问题。提高绩效结果的应用，为改进部门管理</w:t>
      </w:r>
      <w:r>
        <w:rPr>
          <w:rFonts w:hint="eastAsia" w:ascii="仿宋_GB2312" w:hAnsi="仿宋_GB2312" w:eastAsia="仿宋_GB2312" w:cs="仿宋_GB2312"/>
          <w:sz w:val="32"/>
          <w:szCs w:val="32"/>
          <w:lang w:eastAsia="zh-CN"/>
        </w:rPr>
        <w:t>。</w:t>
      </w:r>
    </w:p>
    <w:p>
      <w:pPr>
        <w:tabs>
          <w:tab w:val="left" w:pos="3164"/>
        </w:tabs>
        <w:bidi w:val="0"/>
        <w:jc w:val="left"/>
        <w:rPr>
          <w:rFonts w:hint="eastAsia"/>
          <w:lang w:val="en-US" w:eastAsia="zh-CN"/>
        </w:rPr>
      </w:pPr>
    </w:p>
    <w:sectPr>
      <w:footerReference r:id="rId4" w:type="default"/>
      <w:pgSz w:w="11906" w:h="16838"/>
      <w:pgMar w:top="1503" w:right="1701" w:bottom="1446" w:left="181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500" w:firstLineChars="2500"/>
      <w:rPr>
        <w:rStyle w:val="16"/>
        <w:rFonts w:hint="eastAsia" w:ascii="宋体" w:hAnsi="宋体"/>
        <w:sz w:val="28"/>
        <w:szCs w:val="28"/>
      </w:rPr>
    </w:pPr>
    <w:r>
      <w:pict>
        <v:shape id="_x0000_s2049" o:spid="_x0000_s2049" o:spt="202" type="#_x0000_t202" style="position:absolute;left:0pt;margin-left:91.7pt;margin-top:0.25pt;height:144pt;width:144pt;mso-position-horizontal-relative:page;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ind w:firstLine="7000" w:firstLineChars="2500"/>
                </w:pPr>
                <w:r>
                  <w:rPr>
                    <w:rStyle w:val="16"/>
                    <w:rFonts w:hint="eastAsia" w:ascii="宋体" w:hAnsi="宋体"/>
                    <w:sz w:val="28"/>
                    <w:szCs w:val="28"/>
                  </w:rPr>
                  <w:t>—</w:t>
                </w:r>
                <w:r>
                  <w:rPr>
                    <w:rStyle w:val="16"/>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2</w:t>
                </w:r>
                <w:r>
                  <w:rPr>
                    <w:rFonts w:ascii="宋体" w:hAnsi="宋体"/>
                    <w:sz w:val="28"/>
                    <w:szCs w:val="28"/>
                  </w:rPr>
                  <w:fldChar w:fldCharType="end"/>
                </w:r>
                <w:r>
                  <w:rPr>
                    <w:rStyle w:val="16"/>
                    <w:rFonts w:hint="eastAsia" w:ascii="宋体" w:hAnsi="宋体"/>
                    <w:sz w:val="28"/>
                    <w:szCs w:val="28"/>
                  </w:rPr>
                  <w:t>—</w:t>
                </w:r>
              </w:p>
            </w:txbxContent>
          </v:textbox>
        </v:shape>
      </w:pict>
    </w:r>
  </w:p>
  <w:p>
    <w:pPr>
      <w:pStyle w:val="9"/>
      <w:tabs>
        <w:tab w:val="clear" w:pos="4153"/>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QxZTFiNTUyZGYyMjRkNmFkZTEzMjVlZjBkYjIxMTcifQ=="/>
  </w:docVars>
  <w:rsids>
    <w:rsidRoot w:val="00000000"/>
    <w:rsid w:val="180918B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0"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locked/>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Document Map"/>
    <w:basedOn w:val="1"/>
    <w:semiHidden/>
    <w:qFormat/>
    <w:locked/>
    <w:uiPriority w:val="0"/>
    <w:pPr>
      <w:shd w:val="clear" w:color="auto" w:fill="000080"/>
    </w:pPr>
  </w:style>
  <w:style w:type="paragraph" w:styleId="6">
    <w:name w:val="annotation text"/>
    <w:basedOn w:val="1"/>
    <w:semiHidden/>
    <w:unhideWhenUsed/>
    <w:locked/>
    <w:uiPriority w:val="99"/>
    <w:pPr>
      <w:jc w:val="left"/>
    </w:pPr>
  </w:style>
  <w:style w:type="paragraph" w:styleId="7">
    <w:name w:val="Date"/>
    <w:basedOn w:val="1"/>
    <w:next w:val="1"/>
    <w:qFormat/>
    <w:uiPriority w:val="99"/>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locked/>
    <w:uiPriority w:val="99"/>
    <w:rPr>
      <w:rFonts w:cs="Times New Roman"/>
      <w:b/>
    </w:rPr>
  </w:style>
  <w:style w:type="character" w:styleId="16">
    <w:name w:val="page number"/>
    <w:qFormat/>
    <w:locked/>
    <w:uiPriority w:val="0"/>
  </w:style>
  <w:style w:type="character" w:customStyle="1" w:styleId="17">
    <w:name w:val="标题 1 字符"/>
    <w:link w:val="2"/>
    <w:qFormat/>
    <w:locked/>
    <w:uiPriority w:val="99"/>
    <w:rPr>
      <w:rFonts w:ascii="Calibri" w:hAnsi="Calibri" w:eastAsia="宋体" w:cs="Times New Roman"/>
      <w:b/>
      <w:kern w:val="44"/>
      <w:sz w:val="44"/>
      <w:lang w:val="en-US" w:eastAsia="zh-CN"/>
    </w:rPr>
  </w:style>
  <w:style w:type="character" w:customStyle="1" w:styleId="18">
    <w:name w:val="标题 2 字符"/>
    <w:link w:val="3"/>
    <w:qFormat/>
    <w:locked/>
    <w:uiPriority w:val="99"/>
    <w:rPr>
      <w:rFonts w:ascii="Arial" w:hAnsi="Arial" w:eastAsia="黑体" w:cs="Times New Roman"/>
      <w:b/>
      <w:kern w:val="2"/>
      <w:sz w:val="32"/>
      <w:lang w:val="en-US" w:eastAsia="zh-CN"/>
    </w:rPr>
  </w:style>
  <w:style w:type="character" w:customStyle="1" w:styleId="19">
    <w:name w:val="页眉 字符"/>
    <w:qFormat/>
    <w:locked/>
    <w:uiPriority w:val="99"/>
    <w:rPr>
      <w:rFonts w:cs="Times New Roman"/>
      <w:kern w:val="2"/>
      <w:sz w:val="18"/>
      <w:szCs w:val="18"/>
    </w:rPr>
  </w:style>
  <w:style w:type="character" w:customStyle="1" w:styleId="20">
    <w:name w:val="页脚 字符"/>
    <w:qFormat/>
    <w:locked/>
    <w:uiPriority w:val="99"/>
    <w:rPr>
      <w:rFonts w:cs="Times New Roman"/>
      <w:kern w:val="2"/>
      <w:sz w:val="18"/>
      <w:szCs w:val="18"/>
    </w:rPr>
  </w:style>
  <w:style w:type="character" w:customStyle="1" w:styleId="21">
    <w:name w:val="日期 字符"/>
    <w:qFormat/>
    <w:locked/>
    <w:uiPriority w:val="99"/>
    <w:rPr>
      <w:rFonts w:ascii="Calibri" w:hAnsi="Calibri" w:eastAsia="宋体" w:cs="Times New Roman"/>
      <w:kern w:val="2"/>
      <w:sz w:val="24"/>
      <w:szCs w:val="24"/>
      <w:lang w:val="en-US" w:eastAsia="zh-CN" w:bidi="ar-SA"/>
    </w:rPr>
  </w:style>
  <w:style w:type="character" w:customStyle="1" w:styleId="22">
    <w:name w:val="批注框文本 字符"/>
    <w:qFormat/>
    <w:locked/>
    <w:uiPriority w:val="99"/>
    <w:rPr>
      <w:rFonts w:ascii="Calibri" w:hAnsi="Calibri" w:eastAsia="宋体" w:cs="Times New Roman"/>
      <w:kern w:val="2"/>
      <w:sz w:val="18"/>
      <w:szCs w:val="18"/>
      <w:lang w:val="en-US" w:eastAsia="zh-CN" w:bidi="ar-SA"/>
    </w:rPr>
  </w:style>
  <w:style w:type="character" w:customStyle="1" w:styleId="23">
    <w:name w:val="font21"/>
    <w:qFormat/>
    <w:uiPriority w:val="99"/>
    <w:rPr>
      <w:rFonts w:ascii="宋体" w:hAnsi="宋体" w:eastAsia="宋体" w:cs="宋体"/>
      <w:color w:val="000000"/>
      <w:sz w:val="21"/>
      <w:szCs w:val="21"/>
      <w:u w:val="none"/>
    </w:rPr>
  </w:style>
  <w:style w:type="character" w:customStyle="1" w:styleId="24">
    <w:name w:val="font11"/>
    <w:qFormat/>
    <w:uiPriority w:val="99"/>
    <w:rPr>
      <w:rFonts w:ascii="宋体" w:hAnsi="宋体" w:eastAsia="宋体" w:cs="宋体"/>
      <w:color w:val="000000"/>
      <w:sz w:val="21"/>
      <w:szCs w:val="21"/>
      <w:u w:val="none"/>
    </w:rPr>
  </w:style>
  <w:style w:type="character" w:customStyle="1" w:styleId="25">
    <w:name w:val="font01"/>
    <w:qFormat/>
    <w:uiPriority w:val="99"/>
    <w:rPr>
      <w:rFonts w:ascii="Calibri" w:hAnsi="Calibri" w:cs="Calibri"/>
      <w:color w:val="000000"/>
      <w:sz w:val="21"/>
      <w:szCs w:val="21"/>
      <w:u w:val="none"/>
    </w:rPr>
  </w:style>
  <w:style w:type="character" w:customStyle="1" w:styleId="26">
    <w:name w:val="font51"/>
    <w:qFormat/>
    <w:uiPriority w:val="99"/>
    <w:rPr>
      <w:rFonts w:ascii="宋体" w:hAnsi="宋体" w:eastAsia="宋体" w:cs="宋体"/>
      <w:color w:val="000000"/>
      <w:sz w:val="21"/>
      <w:szCs w:val="21"/>
      <w:u w:val="none"/>
    </w:rPr>
  </w:style>
  <w:style w:type="paragraph" w:customStyle="1" w:styleId="27">
    <w:name w:val="WPSOffice手动目录 1"/>
    <w:qFormat/>
    <w:uiPriority w:val="99"/>
    <w:rPr>
      <w:rFonts w:ascii="Times New Roman" w:hAnsi="Times New Roman" w:eastAsia="宋体" w:cs="Times New Roman"/>
      <w:lang w:val="en-US" w:eastAsia="zh-CN" w:bidi="ar-SA"/>
    </w:rPr>
  </w:style>
  <w:style w:type="paragraph" w:customStyle="1" w:styleId="28">
    <w:name w:val="WPSOffice手动目录 2"/>
    <w:qFormat/>
    <w:uiPriority w:val="99"/>
    <w:pPr>
      <w:ind w:left="200" w:leftChars="200"/>
    </w:pPr>
    <w:rPr>
      <w:rFonts w:ascii="Times New Roman" w:hAnsi="Times New Roman" w:eastAsia="宋体" w:cs="Times New Roman"/>
      <w:lang w:val="en-US" w:eastAsia="zh-CN" w:bidi="ar-SA"/>
    </w:rPr>
  </w:style>
  <w:style w:type="paragraph" w:styleId="29">
    <w:name w:val="List Paragraph"/>
    <w:basedOn w:val="1"/>
    <w:qFormat/>
    <w:uiPriority w:val="99"/>
    <w:pPr>
      <w:ind w:firstLine="420" w:firstLineChars="200"/>
    </w:pPr>
  </w:style>
  <w:style w:type="paragraph" w:customStyle="1" w:styleId="3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31">
    <w:name w:val="文档结构图 字符"/>
    <w:semiHidden/>
    <w:qFormat/>
    <w:uiPriority w:val="0"/>
    <w:rPr>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65</Pages>
  <Words>4742</Words>
  <Characters>27031</Characters>
  <Lines>225</Lines>
  <Paragraphs>63</Paragraphs>
  <TotalTime>0</TotalTime>
  <ScaleCrop>false</ScaleCrop>
  <LinksUpToDate>false</LinksUpToDate>
  <CharactersWithSpaces>31710</CharactersWithSpaces>
  <Application>WPS Office_11.1.0.9208_F1E327BC-269C-435d-A152-05C5408002CA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2023-10-11T01:36:00Z</dcterms:created>
  <dc:creator>万婷</dc:creator>
  <cp:lastModifiedBy>静待花开</cp:lastModifiedBy>
  <dcterms:modified xsi:type="dcterms:W3CDTF">2023-11-30T07:16:20Z</dcterms:modified>
  <dc:title>佛坪县2018年财政决算说明</dc:title>
  <cp:revision>6</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6.xml><?xml version="1.0" encoding="utf-8"?>
<Properties xmlns:vt="http://schemas.openxmlformats.org/officeDocument/2006/docPropsVTypes" xmlns="http://schemas.openxmlformats.org/officeDocument/2006/extended-properties">
  <Template>Normal</Template>
  <TotalTime>0</TotalTime>
  <Pages>65</Pages>
  <Words>4742</Words>
  <Characters>27031</Characters>
  <Application>WPS Office_11.1.0.9208_F1E327BC-269C-435d-A152-05C5408002CA</Application>
  <DocSecurity>0</DocSecurity>
  <Lines>225</Lines>
  <Paragraphs>63</Paragraphs>
  <Company>Microsoft</Company>
  <CharactersWithSpaces>31710</CharactersWithSpaces>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佛坪县2018年财政决算说明</dc:title>
  <dc:creator>万婷</dc:creator>
  <cp:lastModifiedBy>静待花开</cp:lastModifiedBy>
  <cp:revision>6</cp:revision>
  <dcterms:created xsi:type="dcterms:W3CDTF">2023-10-11T01:36:00Z</dcterms:created>
  <dcterms:modified xsi:type="dcterms:W3CDTF">2023-11-30T07:16:20Z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8bdd4-0785-4a82-a89f-8d085e931a74}">
  <ds:schemaRefs/>
</ds:datastoreItem>
</file>

<file path=customXml/itemProps3.xml><?xml version="1.0" encoding="utf-8"?>
<ds:datastoreItem xmlns:ds="http://schemas.openxmlformats.org/officeDocument/2006/customXml" ds:itemID="{82b0cc96-02a1-4349-b1f1-32b407b229b4}">
  <ds:schemaRefs/>
</ds:datastoreItem>
</file>

<file path=customXml/itemProps4.xml><?xml version="1.0" encoding="utf-8"?>
<ds:datastoreItem xmlns:ds="http://schemas.openxmlformats.org/officeDocument/2006/customXml" ds:itemID="{61ef4722-39cc-41be-a318-07dd61da4f3b}">
  <ds:schemaRefs/>
</ds:datastoreItem>
</file>

<file path=customXml/itemProps5.xml><?xml version="1.0" encoding="utf-8"?>
<ds:datastoreItem xmlns:ds="http://schemas.openxmlformats.org/officeDocument/2006/customXml" ds:itemID="{c2368027-7df0-4e7b-9540-6e13b84b2693}">
  <ds:schemaRefs/>
</ds:datastoreItem>
</file>

<file path=customXml/itemProps6.xml><?xml version="1.0" encoding="utf-8"?>
<ds:datastoreItem xmlns:ds="http://schemas.openxmlformats.org/officeDocument/2006/customXml" ds:itemID="{d9177b40-99c9-4928-9547-f042de50617f}">
  <ds:schemaRefs/>
</ds:datastoreItem>
</file>

<file path=customXml/itemProps7.xml><?xml version="1.0" encoding="utf-8"?>
<ds:datastoreItem xmlns:ds="http://schemas.openxmlformats.org/officeDocument/2006/customXml" ds:itemID="{99fb51b2-2709-4638-9c21-5e4eb93713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4742</Words>
  <Characters>27031</Characters>
  <Lines>225</Lines>
  <Paragraphs>63</Paragraphs>
  <TotalTime>24</TotalTime>
  <ScaleCrop>false</ScaleCrop>
  <LinksUpToDate>false</LinksUpToDate>
  <CharactersWithSpaces>31710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2023-10-11T01:36:00Z</dcterms:created>
  <dc:creator>万婷</dc:creator>
  <cp:lastModifiedBy>後來</cp:lastModifiedBy>
  <dcterms:modified xsi:type="dcterms:W3CDTF">2023-11-30T08:39:21Z</dcterms:modified>
  <dc:title>佛坪县2018年财政决算说明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283D1DE577CA4F92B49CBA16CB912116_12</vt:lpwstr>
  </property>
</Properties>
</file>